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新疆若羌县阿达滩北一区金矿</w:t>
      </w:r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普</w:t>
      </w:r>
      <w:r>
        <w:rPr>
          <w:rFonts w:hint="eastAsia" w:ascii="仿宋" w:hAnsi="仿宋" w:eastAsia="仿宋" w:cs="Times New Roman"/>
          <w:b/>
          <w:sz w:val="36"/>
          <w:szCs w:val="36"/>
        </w:rPr>
        <w:t>查地质概况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一、基本情况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位置交通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矿区位于祁漫塔格地区，行政区划隶属于若羌县，区内交通极为不便。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2．自然地理及经济情况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地势北高南低，平均海拔均在4500～5000m。区内水系较为发育，长年流水，降雨量稀少，气候变化无常，昼夜温差较大，已划定为阿尔金国家级野生动物保护区，人烟稀少，无居民点。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3．探</w:t>
      </w:r>
      <w:r>
        <w:rPr>
          <w:rFonts w:ascii="仿宋" w:hAnsi="仿宋" w:eastAsia="仿宋" w:cs="Times New Roman"/>
          <w:bCs/>
          <w:sz w:val="28"/>
          <w:szCs w:val="28"/>
        </w:rPr>
        <w:t>矿权</w:t>
      </w:r>
      <w:r>
        <w:rPr>
          <w:rFonts w:hint="eastAsia" w:ascii="仿宋" w:hAnsi="仿宋" w:eastAsia="仿宋" w:cs="Times New Roman"/>
          <w:bCs/>
          <w:sz w:val="28"/>
          <w:szCs w:val="28"/>
        </w:rPr>
        <w:t>内</w:t>
      </w:r>
      <w:r>
        <w:rPr>
          <w:rFonts w:ascii="仿宋" w:hAnsi="仿宋" w:eastAsia="仿宋" w:cs="Times New Roman"/>
          <w:bCs/>
          <w:sz w:val="28"/>
          <w:szCs w:val="28"/>
        </w:rPr>
        <w:t>完成主要</w:t>
      </w:r>
      <w:r>
        <w:rPr>
          <w:rFonts w:hint="eastAsia" w:ascii="仿宋" w:hAnsi="仿宋" w:eastAsia="仿宋" w:cs="Times New Roman"/>
          <w:bCs/>
          <w:sz w:val="28"/>
          <w:szCs w:val="28"/>
        </w:rPr>
        <w:t>工作</w:t>
      </w:r>
      <w:r>
        <w:rPr>
          <w:rFonts w:ascii="仿宋" w:hAnsi="仿宋" w:eastAsia="仿宋" w:cs="Times New Roman"/>
          <w:bCs/>
          <w:sz w:val="28"/>
          <w:szCs w:val="28"/>
        </w:rPr>
        <w:t>量</w:t>
      </w:r>
      <w:r>
        <w:rPr>
          <w:rFonts w:hint="eastAsia" w:ascii="仿宋" w:hAnsi="仿宋" w:eastAsia="仿宋" w:cs="Times New Roman"/>
          <w:bCs/>
          <w:sz w:val="28"/>
          <w:szCs w:val="28"/>
        </w:rPr>
        <w:t>及</w:t>
      </w:r>
      <w:r>
        <w:rPr>
          <w:rFonts w:ascii="仿宋" w:hAnsi="仿宋" w:eastAsia="仿宋" w:cs="Times New Roman"/>
          <w:bCs/>
          <w:sz w:val="28"/>
          <w:szCs w:val="28"/>
        </w:rPr>
        <w:t>投入资金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探矿</w:t>
      </w:r>
      <w:r>
        <w:rPr>
          <w:rFonts w:hint="eastAsia" w:ascii="仿宋" w:hAnsi="仿宋" w:eastAsia="仿宋" w:cs="Times New Roman"/>
          <w:bCs/>
          <w:sz w:val="28"/>
          <w:szCs w:val="28"/>
        </w:rPr>
        <w:t>证号：</w:t>
      </w:r>
      <w:r>
        <w:rPr>
          <w:rFonts w:ascii="仿宋" w:hAnsi="仿宋" w:eastAsia="仿宋" w:cs="Times New Roman"/>
          <w:bCs/>
          <w:sz w:val="28"/>
          <w:szCs w:val="28"/>
        </w:rPr>
        <w:t>T65120170402053961</w:t>
      </w:r>
      <w:r>
        <w:rPr>
          <w:rFonts w:hint="eastAsia" w:ascii="仿宋" w:hAnsi="仿宋" w:eastAsia="仿宋" w:cs="Times New Roman"/>
          <w:bCs/>
          <w:sz w:val="28"/>
          <w:szCs w:val="28"/>
        </w:rPr>
        <w:t>；拐点范围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(2000坐标)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90.4610000,37.3422000,90.4610000,37.3530000,90.4750000,37.3634000,90.5104000,37.3501000,90.4942000,37.3312000,</w:t>
      </w:r>
      <w:bookmarkStart w:id="2" w:name="_GoBack"/>
      <w:bookmarkEnd w:id="2"/>
      <w:r>
        <w:rPr>
          <w:rFonts w:hint="eastAsia" w:ascii="仿宋" w:hAnsi="仿宋" w:eastAsia="仿宋" w:cs="Times New Roman"/>
          <w:bCs/>
          <w:sz w:val="28"/>
          <w:szCs w:val="28"/>
        </w:rPr>
        <w:t>面积2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Times New Roman"/>
          <w:bCs/>
          <w:sz w:val="28"/>
          <w:szCs w:val="28"/>
        </w:rPr>
        <w:t>.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67</w:t>
      </w:r>
      <w:r>
        <w:rPr>
          <w:rFonts w:hint="eastAsia" w:ascii="仿宋" w:hAnsi="仿宋" w:eastAsia="仿宋" w:cs="Times New Roman"/>
          <w:bCs/>
          <w:sz w:val="28"/>
          <w:szCs w:val="28"/>
        </w:rPr>
        <w:t>平方千米。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主要投入工作有：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2015年，该区完成了</w:t>
      </w: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∶5万水</w:t>
      </w:r>
      <w:r>
        <w:rPr>
          <w:rFonts w:ascii="仿宋" w:hAnsi="仿宋" w:eastAsia="仿宋" w:cs="Times New Roman"/>
          <w:bCs/>
          <w:sz w:val="28"/>
          <w:szCs w:val="28"/>
        </w:rPr>
        <w:t>系沉积物测量</w:t>
      </w:r>
      <w:r>
        <w:rPr>
          <w:rFonts w:hint="eastAsia" w:ascii="仿宋" w:hAnsi="仿宋" w:eastAsia="仿宋" w:cs="Times New Roman"/>
          <w:bCs/>
          <w:sz w:val="28"/>
          <w:szCs w:val="28"/>
        </w:rPr>
        <w:t>21平方千米，投入经费4万元。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2016年，该区完成了</w:t>
      </w: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∶1</w:t>
      </w:r>
      <w:r>
        <w:rPr>
          <w:rFonts w:ascii="仿宋" w:hAnsi="仿宋" w:eastAsia="仿宋" w:cs="Times New Roman"/>
          <w:bCs/>
          <w:sz w:val="28"/>
          <w:szCs w:val="28"/>
        </w:rPr>
        <w:t>000地质测量（草测）</w:t>
      </w:r>
      <w:r>
        <w:rPr>
          <w:rFonts w:hint="eastAsia" w:ascii="仿宋" w:hAnsi="仿宋" w:eastAsia="仿宋" w:cs="Times New Roman"/>
          <w:bCs/>
          <w:sz w:val="28"/>
          <w:szCs w:val="28"/>
        </w:rPr>
        <w:t>31.2平方千米，</w:t>
      </w: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∶</w:t>
      </w:r>
      <w:r>
        <w:rPr>
          <w:rFonts w:ascii="仿宋" w:hAnsi="仿宋" w:eastAsia="仿宋" w:cs="Times New Roman"/>
          <w:bCs/>
          <w:sz w:val="28"/>
          <w:szCs w:val="28"/>
        </w:rPr>
        <w:t>1万地化剖面测量</w:t>
      </w:r>
      <w:r>
        <w:rPr>
          <w:rFonts w:hint="eastAsia" w:ascii="仿宋" w:hAnsi="仿宋" w:eastAsia="仿宋" w:cs="Times New Roman"/>
          <w:bCs/>
          <w:sz w:val="28"/>
          <w:szCs w:val="28"/>
        </w:rPr>
        <w:t>19.5千米，</w:t>
      </w: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∶</w:t>
      </w:r>
      <w:r>
        <w:rPr>
          <w:rFonts w:ascii="仿宋" w:hAnsi="仿宋" w:eastAsia="仿宋" w:cs="Times New Roman"/>
          <w:bCs/>
          <w:sz w:val="28"/>
          <w:szCs w:val="28"/>
        </w:rPr>
        <w:t>2000地质草测</w:t>
      </w:r>
      <w:r>
        <w:rPr>
          <w:rFonts w:hint="eastAsia" w:ascii="仿宋" w:hAnsi="仿宋" w:eastAsia="仿宋" w:cs="Times New Roman"/>
          <w:bCs/>
          <w:sz w:val="28"/>
          <w:szCs w:val="28"/>
        </w:rPr>
        <w:t>2.3平方千米，槽探2000立方米，累计完成经费142.1万元</w:t>
      </w:r>
      <w:r>
        <w:rPr>
          <w:rFonts w:ascii="仿宋" w:hAnsi="仿宋" w:eastAsia="仿宋" w:cs="Times New Roman"/>
          <w:bCs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累计使用经费：146.1万元。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二、成矿地质背景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矿区地质特征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bookmarkStart w:id="0" w:name="_Toc3481284"/>
      <w:bookmarkStart w:id="1" w:name="_Toc529049211"/>
      <w:r>
        <w:rPr>
          <w:rFonts w:ascii="仿宋" w:hAnsi="仿宋" w:eastAsia="仿宋" w:cs="Times New Roman"/>
          <w:sz w:val="28"/>
          <w:szCs w:val="28"/>
        </w:rPr>
        <w:t>出露的地层从老到新主要为</w:t>
      </w:r>
      <w:r>
        <w:rPr>
          <w:rFonts w:hint="eastAsia" w:ascii="仿宋" w:hAnsi="仿宋" w:eastAsia="仿宋"/>
          <w:sz w:val="28"/>
          <w:szCs w:val="28"/>
        </w:rPr>
        <w:t>下元古界金水口岩群白沙河岩组,奥陶系祁漫塔格群下部碎屑岩组、中部火山岩组、第四系，</w:t>
      </w:r>
      <w:r>
        <w:rPr>
          <w:rFonts w:ascii="仿宋" w:hAnsi="仿宋" w:eastAsia="仿宋"/>
          <w:color w:val="000000"/>
          <w:spacing w:val="-2"/>
          <w:sz w:val="28"/>
          <w:szCs w:val="28"/>
        </w:rPr>
        <w:t>地层产状大致为20-40°∠60-75°</w:t>
      </w:r>
      <w:r>
        <w:rPr>
          <w:rFonts w:ascii="仿宋" w:hAnsi="仿宋" w:eastAsia="仿宋" w:cs="Times New Roman"/>
          <w:sz w:val="28"/>
          <w:szCs w:val="28"/>
        </w:rPr>
        <w:t>。</w:t>
      </w:r>
      <w:bookmarkEnd w:id="0"/>
      <w:bookmarkEnd w:id="1"/>
      <w:r>
        <w:rPr>
          <w:rFonts w:hint="eastAsia" w:ascii="仿宋" w:hAnsi="仿宋" w:eastAsia="仿宋"/>
          <w:sz w:val="28"/>
          <w:szCs w:val="28"/>
        </w:rPr>
        <w:t>主要断裂</w:t>
      </w:r>
      <w:r>
        <w:rPr>
          <w:rFonts w:ascii="仿宋" w:hAnsi="仿宋" w:eastAsia="仿宋"/>
          <w:sz w:val="28"/>
          <w:szCs w:val="28"/>
        </w:rPr>
        <w:t>NWW-SEE向，</w:t>
      </w:r>
      <w:r>
        <w:rPr>
          <w:rFonts w:hint="eastAsia" w:hAnsi="仿宋" w:eastAsia="仿宋"/>
          <w:sz w:val="28"/>
          <w:szCs w:val="28"/>
        </w:rPr>
        <w:t>为北倾逆断层，宽约</w:t>
      </w:r>
      <w:r>
        <w:rPr>
          <w:rFonts w:hint="eastAsia" w:ascii="仿宋" w:hAnsi="仿宋" w:eastAsia="仿宋"/>
          <w:sz w:val="28"/>
          <w:szCs w:val="28"/>
        </w:rPr>
        <w:t>5-50米</w:t>
      </w:r>
      <w:r>
        <w:rPr>
          <w:rFonts w:hint="eastAsia" w:hAnsi="仿宋" w:eastAsia="仿宋"/>
          <w:sz w:val="28"/>
          <w:szCs w:val="28"/>
        </w:rPr>
        <w:t>不等。酸性岩出露有</w:t>
      </w:r>
      <w:r>
        <w:rPr>
          <w:rFonts w:ascii="仿宋" w:hAnsi="仿宋" w:eastAsia="仿宋"/>
          <w:color w:val="000000"/>
          <w:sz w:val="28"/>
          <w:szCs w:val="28"/>
        </w:rPr>
        <w:t>泥盆</w:t>
      </w:r>
      <w:r>
        <w:rPr>
          <w:rFonts w:hAnsi="仿宋" w:eastAsia="仿宋"/>
          <w:color w:val="000000"/>
          <w:sz w:val="28"/>
          <w:szCs w:val="28"/>
        </w:rPr>
        <w:t>纪</w:t>
      </w:r>
      <w:r>
        <w:rPr>
          <w:rFonts w:hint="eastAsia" w:ascii="仿宋" w:hAnsi="仿宋" w:eastAsia="仿宋"/>
          <w:kern w:val="0"/>
          <w:sz w:val="28"/>
          <w:szCs w:val="28"/>
        </w:rPr>
        <w:t>中粗粒花岗闪长岩体，二长花岗岩和肉红色中粒钾长花岗岩。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矿化蚀变带产</w:t>
      </w:r>
      <w:r>
        <w:rPr>
          <w:rFonts w:hint="eastAsia" w:ascii="仿宋" w:hAnsi="仿宋" w:eastAsia="仿宋"/>
          <w:color w:val="000000"/>
          <w:sz w:val="28"/>
          <w:szCs w:val="28"/>
        </w:rPr>
        <w:t>于泥盆纪花岗闪长岩体内，</w:t>
      </w:r>
      <w:r>
        <w:rPr>
          <w:rFonts w:hint="eastAsia" w:ascii="仿宋" w:hAnsi="仿宋" w:eastAsia="仿宋"/>
          <w:sz w:val="28"/>
          <w:szCs w:val="28"/>
        </w:rPr>
        <w:t>沿F</w:t>
      </w:r>
      <w:r>
        <w:rPr>
          <w:rFonts w:hint="eastAsia" w:ascii="仿宋" w:hAnsi="仿宋" w:eastAsia="仿宋"/>
          <w:sz w:val="28"/>
          <w:szCs w:val="28"/>
          <w:vertAlign w:val="subscript"/>
        </w:rPr>
        <w:t>4</w:t>
      </w:r>
      <w:r>
        <w:rPr>
          <w:rFonts w:hint="eastAsia" w:ascii="仿宋" w:hAnsi="仿宋" w:eastAsia="仿宋"/>
          <w:sz w:val="28"/>
          <w:szCs w:val="28"/>
        </w:rPr>
        <w:t>号断层分布，</w:t>
      </w:r>
      <w:r>
        <w:rPr>
          <w:rFonts w:hint="eastAsia" w:ascii="仿宋" w:hAnsi="仿宋" w:eastAsia="仿宋"/>
          <w:color w:val="000000"/>
          <w:sz w:val="28"/>
          <w:szCs w:val="28"/>
        </w:rPr>
        <w:t>近东西向走向，</w:t>
      </w:r>
      <w:r>
        <w:rPr>
          <w:rFonts w:hint="eastAsia" w:ascii="仿宋" w:hAnsi="仿宋" w:eastAsia="仿宋"/>
          <w:sz w:val="28"/>
          <w:szCs w:val="28"/>
        </w:rPr>
        <w:t>长约2000米，约5-60米，倾角约为75°，破碎蚀变带内有断层破碎带、石英脉、细晶花岗岩脉、闪长岩脉等，普遍发育褐铁矿化、黄铁矿化、黄钾</w:t>
      </w:r>
      <w:r>
        <w:rPr>
          <w:rFonts w:ascii="仿宋" w:hAnsi="仿宋" w:eastAsia="仿宋"/>
          <w:sz w:val="28"/>
          <w:szCs w:val="28"/>
        </w:rPr>
        <w:t>铁矾化等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2．矿（化）体特征</w:t>
      </w:r>
    </w:p>
    <w:p>
      <w:pPr>
        <w:adjustRightInd w:val="0"/>
        <w:snapToGrid w:val="0"/>
        <w:spacing w:line="348" w:lineRule="auto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L</w:t>
      </w:r>
      <w:r>
        <w:rPr>
          <w:rFonts w:hint="eastAsia" w:ascii="仿宋" w:hAnsi="仿宋" w:eastAsia="仿宋"/>
          <w:color w:val="000000"/>
          <w:sz w:val="28"/>
          <w:szCs w:val="28"/>
          <w:vertAlign w:val="subscript"/>
        </w:rPr>
        <w:t>Au-1</w:t>
      </w:r>
      <w:r>
        <w:rPr>
          <w:rFonts w:hint="eastAsia" w:ascii="仿宋" w:hAnsi="仿宋" w:eastAsia="仿宋"/>
          <w:color w:val="000000"/>
          <w:sz w:val="28"/>
          <w:szCs w:val="28"/>
        </w:rPr>
        <w:t>矿化体，出露宽1-3米，长500米，平均厚度1.78米，为破碎蚀变岩型金矿化体。含金品位0.12</w:t>
      </w:r>
      <w:r>
        <w:rPr>
          <w:rFonts w:ascii="仿宋" w:hAnsi="仿宋" w:eastAsia="仿宋"/>
          <w:sz w:val="28"/>
          <w:szCs w:val="28"/>
        </w:rPr>
        <w:t>×10</w:t>
      </w:r>
      <w:r>
        <w:rPr>
          <w:rFonts w:ascii="仿宋" w:hAnsi="仿宋" w:eastAsia="仿宋"/>
          <w:sz w:val="28"/>
          <w:szCs w:val="28"/>
          <w:vertAlign w:val="superscript"/>
        </w:rPr>
        <w:t>-</w:t>
      </w:r>
      <w:r>
        <w:rPr>
          <w:rFonts w:hint="eastAsia" w:ascii="仿宋" w:hAnsi="仿宋" w:eastAsia="仿宋"/>
          <w:sz w:val="28"/>
          <w:szCs w:val="28"/>
          <w:vertAlign w:val="superscript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-0.26</w:t>
      </w:r>
      <w:r>
        <w:rPr>
          <w:rFonts w:ascii="仿宋" w:hAnsi="仿宋" w:eastAsia="仿宋"/>
          <w:sz w:val="28"/>
          <w:szCs w:val="28"/>
        </w:rPr>
        <w:t>×10</w:t>
      </w:r>
      <w:r>
        <w:rPr>
          <w:rFonts w:ascii="仿宋" w:hAnsi="仿宋" w:eastAsia="仿宋"/>
          <w:sz w:val="28"/>
          <w:szCs w:val="28"/>
          <w:vertAlign w:val="superscript"/>
        </w:rPr>
        <w:t>-</w:t>
      </w:r>
      <w:r>
        <w:rPr>
          <w:rFonts w:hint="eastAsia" w:ascii="仿宋" w:hAnsi="仿宋" w:eastAsia="仿宋"/>
          <w:sz w:val="28"/>
          <w:szCs w:val="28"/>
          <w:vertAlign w:val="superscript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，平均品位0.17</w:t>
      </w:r>
      <w:r>
        <w:rPr>
          <w:rFonts w:ascii="仿宋" w:hAnsi="仿宋" w:eastAsia="仿宋"/>
          <w:sz w:val="28"/>
          <w:szCs w:val="28"/>
        </w:rPr>
        <w:t>×10</w:t>
      </w:r>
      <w:r>
        <w:rPr>
          <w:rFonts w:ascii="仿宋" w:hAnsi="仿宋" w:eastAsia="仿宋"/>
          <w:sz w:val="28"/>
          <w:szCs w:val="28"/>
          <w:vertAlign w:val="superscript"/>
        </w:rPr>
        <w:t>-</w:t>
      </w:r>
      <w:r>
        <w:rPr>
          <w:rFonts w:hint="eastAsia" w:ascii="仿宋" w:hAnsi="仿宋" w:eastAsia="仿宋"/>
          <w:sz w:val="28"/>
          <w:szCs w:val="28"/>
          <w:vertAlign w:val="superscript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</w:p>
    <w:p>
      <w:pPr>
        <w:adjustRightInd w:val="0"/>
        <w:snapToGrid w:val="0"/>
        <w:spacing w:line="348" w:lineRule="auto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L</w:t>
      </w:r>
      <w:r>
        <w:rPr>
          <w:rFonts w:hint="eastAsia" w:ascii="仿宋" w:hAnsi="仿宋" w:eastAsia="仿宋"/>
          <w:color w:val="000000"/>
          <w:sz w:val="28"/>
          <w:szCs w:val="28"/>
          <w:vertAlign w:val="subscript"/>
        </w:rPr>
        <w:t>Au-2</w:t>
      </w:r>
      <w:r>
        <w:rPr>
          <w:rFonts w:hint="eastAsia" w:ascii="仿宋" w:hAnsi="仿宋" w:eastAsia="仿宋"/>
          <w:color w:val="000000"/>
          <w:sz w:val="28"/>
          <w:szCs w:val="28"/>
        </w:rPr>
        <w:t>矿化体，出露宽10米，长100米，矿化体平均厚度4.83米，为石英脉型金矿化体。含金品位0.09</w:t>
      </w:r>
      <w:r>
        <w:rPr>
          <w:rFonts w:ascii="仿宋" w:hAnsi="仿宋" w:eastAsia="仿宋"/>
          <w:sz w:val="28"/>
          <w:szCs w:val="28"/>
        </w:rPr>
        <w:t>×10</w:t>
      </w:r>
      <w:r>
        <w:rPr>
          <w:rFonts w:ascii="仿宋" w:hAnsi="仿宋" w:eastAsia="仿宋"/>
          <w:sz w:val="28"/>
          <w:szCs w:val="28"/>
          <w:vertAlign w:val="superscript"/>
        </w:rPr>
        <w:t>-</w:t>
      </w:r>
      <w:r>
        <w:rPr>
          <w:rFonts w:hint="eastAsia" w:ascii="仿宋" w:hAnsi="仿宋" w:eastAsia="仿宋"/>
          <w:sz w:val="28"/>
          <w:szCs w:val="28"/>
          <w:vertAlign w:val="superscript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-0.29</w:t>
      </w:r>
      <w:r>
        <w:rPr>
          <w:rFonts w:ascii="仿宋" w:hAnsi="仿宋" w:eastAsia="仿宋"/>
          <w:sz w:val="28"/>
          <w:szCs w:val="28"/>
        </w:rPr>
        <w:t>×10</w:t>
      </w:r>
      <w:r>
        <w:rPr>
          <w:rFonts w:ascii="仿宋" w:hAnsi="仿宋" w:eastAsia="仿宋"/>
          <w:sz w:val="28"/>
          <w:szCs w:val="28"/>
          <w:vertAlign w:val="superscript"/>
        </w:rPr>
        <w:t>-</w:t>
      </w:r>
      <w:r>
        <w:rPr>
          <w:rFonts w:hint="eastAsia" w:ascii="仿宋" w:hAnsi="仿宋" w:eastAsia="仿宋"/>
          <w:sz w:val="28"/>
          <w:szCs w:val="28"/>
          <w:vertAlign w:val="superscript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，平均品位0.18</w:t>
      </w:r>
      <w:r>
        <w:rPr>
          <w:rFonts w:ascii="仿宋" w:hAnsi="仿宋" w:eastAsia="仿宋"/>
          <w:sz w:val="28"/>
          <w:szCs w:val="28"/>
        </w:rPr>
        <w:t>×10</w:t>
      </w:r>
      <w:r>
        <w:rPr>
          <w:rFonts w:ascii="仿宋" w:hAnsi="仿宋" w:eastAsia="仿宋"/>
          <w:sz w:val="28"/>
          <w:szCs w:val="28"/>
          <w:vertAlign w:val="superscript"/>
        </w:rPr>
        <w:t>-</w:t>
      </w:r>
      <w:r>
        <w:rPr>
          <w:rFonts w:hint="eastAsia" w:ascii="仿宋" w:hAnsi="仿宋" w:eastAsia="仿宋"/>
          <w:sz w:val="28"/>
          <w:szCs w:val="28"/>
          <w:vertAlign w:val="superscript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3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矿床成因及找矿标志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_GB2312"/>
          <w:bCs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⑴矿床成因：</w:t>
      </w:r>
      <w:r>
        <w:rPr>
          <w:rFonts w:hint="eastAsia" w:ascii="仿宋" w:hAnsi="仿宋" w:eastAsia="仿宋" w:cs="仿宋_GB2312"/>
          <w:bCs/>
          <w:color w:val="000000"/>
          <w:sz w:val="28"/>
          <w:szCs w:val="28"/>
        </w:rPr>
        <w:t>成因类型为破碎蚀变岩-石英脉型金矿。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⑵</w:t>
      </w:r>
      <w:r>
        <w:rPr>
          <w:rFonts w:ascii="仿宋" w:hAnsi="仿宋" w:eastAsia="仿宋" w:cs="Times New Roman"/>
          <w:sz w:val="28"/>
          <w:szCs w:val="28"/>
        </w:rPr>
        <w:t>找矿标志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主要岩性为丘里塔格组白云质灰岩，矿体赋存于不整合面附近的岩溶角砾岩层中；岩溶角砾岩矿化带与近南北向的次级断裂交汇部位发育蚀变破碎带，明显有矿化再富集、蚀变加强的特点；铅锌异常能够直接指示矿化带的位置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三、勘查程度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本区基本达到矿产评价程度。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四、资源量估算结果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因未达到工业品位矿体，未估算资源量。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附图：项目工作范围、项目办理的探矿权名称及范围、资源量估算范围叠合示意图：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5366385"/>
            <wp:effectExtent l="19050" t="19050" r="21590" b="247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66385"/>
                    </a:xfrm>
                    <a:prstGeom prst="rect">
                      <a:avLst/>
                    </a:prstGeom>
                    <a:ln w="12700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434009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6C"/>
    <w:rsid w:val="00003B0B"/>
    <w:rsid w:val="00012845"/>
    <w:rsid w:val="00012E44"/>
    <w:rsid w:val="000250CB"/>
    <w:rsid w:val="00041F91"/>
    <w:rsid w:val="00090685"/>
    <w:rsid w:val="000E3CEC"/>
    <w:rsid w:val="000F39E7"/>
    <w:rsid w:val="001011D3"/>
    <w:rsid w:val="00103756"/>
    <w:rsid w:val="00110C40"/>
    <w:rsid w:val="001275C6"/>
    <w:rsid w:val="00147E67"/>
    <w:rsid w:val="00163186"/>
    <w:rsid w:val="00183F49"/>
    <w:rsid w:val="001A1E99"/>
    <w:rsid w:val="001A5C28"/>
    <w:rsid w:val="001B1D28"/>
    <w:rsid w:val="001B7C7A"/>
    <w:rsid w:val="001C0FE3"/>
    <w:rsid w:val="001D12FF"/>
    <w:rsid w:val="00201A19"/>
    <w:rsid w:val="00233A0E"/>
    <w:rsid w:val="00243A4A"/>
    <w:rsid w:val="00254252"/>
    <w:rsid w:val="0025511F"/>
    <w:rsid w:val="00265641"/>
    <w:rsid w:val="002A3574"/>
    <w:rsid w:val="002B6306"/>
    <w:rsid w:val="002C1CB1"/>
    <w:rsid w:val="002D67A7"/>
    <w:rsid w:val="002E0B99"/>
    <w:rsid w:val="002E4511"/>
    <w:rsid w:val="002E7250"/>
    <w:rsid w:val="00306A06"/>
    <w:rsid w:val="00342DF2"/>
    <w:rsid w:val="003438DC"/>
    <w:rsid w:val="00362B57"/>
    <w:rsid w:val="0037156B"/>
    <w:rsid w:val="00380966"/>
    <w:rsid w:val="003809C3"/>
    <w:rsid w:val="003A6862"/>
    <w:rsid w:val="003A6AF4"/>
    <w:rsid w:val="003B79DA"/>
    <w:rsid w:val="003F2EDE"/>
    <w:rsid w:val="00402B23"/>
    <w:rsid w:val="00407300"/>
    <w:rsid w:val="0044010C"/>
    <w:rsid w:val="00476C38"/>
    <w:rsid w:val="004A1B1C"/>
    <w:rsid w:val="004A5829"/>
    <w:rsid w:val="004E114A"/>
    <w:rsid w:val="004F264E"/>
    <w:rsid w:val="00511E8D"/>
    <w:rsid w:val="0051754B"/>
    <w:rsid w:val="005300E2"/>
    <w:rsid w:val="00534D63"/>
    <w:rsid w:val="00551678"/>
    <w:rsid w:val="00551786"/>
    <w:rsid w:val="00556AB7"/>
    <w:rsid w:val="00565678"/>
    <w:rsid w:val="0059479F"/>
    <w:rsid w:val="005A13F3"/>
    <w:rsid w:val="005A5E6D"/>
    <w:rsid w:val="005B45CA"/>
    <w:rsid w:val="005C5230"/>
    <w:rsid w:val="005C7F35"/>
    <w:rsid w:val="005E0EB2"/>
    <w:rsid w:val="00627813"/>
    <w:rsid w:val="00647555"/>
    <w:rsid w:val="00647F12"/>
    <w:rsid w:val="0067026E"/>
    <w:rsid w:val="00675FD6"/>
    <w:rsid w:val="00685C3A"/>
    <w:rsid w:val="006B5E7A"/>
    <w:rsid w:val="006E4F25"/>
    <w:rsid w:val="007104D7"/>
    <w:rsid w:val="00720660"/>
    <w:rsid w:val="00735D6C"/>
    <w:rsid w:val="00751A3E"/>
    <w:rsid w:val="007573F7"/>
    <w:rsid w:val="00770C96"/>
    <w:rsid w:val="007F5F27"/>
    <w:rsid w:val="008025C8"/>
    <w:rsid w:val="00804FC6"/>
    <w:rsid w:val="008069E1"/>
    <w:rsid w:val="00821EAF"/>
    <w:rsid w:val="008324CD"/>
    <w:rsid w:val="008442A6"/>
    <w:rsid w:val="008646F9"/>
    <w:rsid w:val="008B1FE4"/>
    <w:rsid w:val="008B2967"/>
    <w:rsid w:val="008B40AF"/>
    <w:rsid w:val="008B508D"/>
    <w:rsid w:val="008C1122"/>
    <w:rsid w:val="008D2095"/>
    <w:rsid w:val="008D6016"/>
    <w:rsid w:val="008D6194"/>
    <w:rsid w:val="00901BE8"/>
    <w:rsid w:val="00910F62"/>
    <w:rsid w:val="00921E78"/>
    <w:rsid w:val="00930654"/>
    <w:rsid w:val="00963DDE"/>
    <w:rsid w:val="009761C5"/>
    <w:rsid w:val="0098059D"/>
    <w:rsid w:val="009844F5"/>
    <w:rsid w:val="00993C1D"/>
    <w:rsid w:val="00994A0E"/>
    <w:rsid w:val="009A221A"/>
    <w:rsid w:val="009B1E8B"/>
    <w:rsid w:val="009C25A4"/>
    <w:rsid w:val="009E111A"/>
    <w:rsid w:val="009E1DD9"/>
    <w:rsid w:val="009F0821"/>
    <w:rsid w:val="00A2762D"/>
    <w:rsid w:val="00A44DA7"/>
    <w:rsid w:val="00A468CA"/>
    <w:rsid w:val="00A50AF5"/>
    <w:rsid w:val="00A51B89"/>
    <w:rsid w:val="00A57A4D"/>
    <w:rsid w:val="00A758E1"/>
    <w:rsid w:val="00AA0E04"/>
    <w:rsid w:val="00AD2FDF"/>
    <w:rsid w:val="00AD3A99"/>
    <w:rsid w:val="00AE6A26"/>
    <w:rsid w:val="00AF4F43"/>
    <w:rsid w:val="00B00526"/>
    <w:rsid w:val="00B3693B"/>
    <w:rsid w:val="00B61566"/>
    <w:rsid w:val="00B63A9C"/>
    <w:rsid w:val="00B725F0"/>
    <w:rsid w:val="00BC1B0A"/>
    <w:rsid w:val="00BD1EB4"/>
    <w:rsid w:val="00BE0C4D"/>
    <w:rsid w:val="00BE21BF"/>
    <w:rsid w:val="00C0464B"/>
    <w:rsid w:val="00C24F96"/>
    <w:rsid w:val="00C513EA"/>
    <w:rsid w:val="00C84119"/>
    <w:rsid w:val="00C868AE"/>
    <w:rsid w:val="00CC2402"/>
    <w:rsid w:val="00D0096B"/>
    <w:rsid w:val="00D21DB1"/>
    <w:rsid w:val="00D31B61"/>
    <w:rsid w:val="00D41C0B"/>
    <w:rsid w:val="00D45C00"/>
    <w:rsid w:val="00D52215"/>
    <w:rsid w:val="00D54B50"/>
    <w:rsid w:val="00D76764"/>
    <w:rsid w:val="00D80430"/>
    <w:rsid w:val="00D84892"/>
    <w:rsid w:val="00DF72AD"/>
    <w:rsid w:val="00E202F7"/>
    <w:rsid w:val="00E7249C"/>
    <w:rsid w:val="00E73E51"/>
    <w:rsid w:val="00E74C28"/>
    <w:rsid w:val="00E93365"/>
    <w:rsid w:val="00E942D8"/>
    <w:rsid w:val="00EA4EBE"/>
    <w:rsid w:val="00EB4839"/>
    <w:rsid w:val="00EB5608"/>
    <w:rsid w:val="00EC6A24"/>
    <w:rsid w:val="00ED6648"/>
    <w:rsid w:val="00EE468C"/>
    <w:rsid w:val="00F020D3"/>
    <w:rsid w:val="00F52A19"/>
    <w:rsid w:val="00F634AC"/>
    <w:rsid w:val="00F66F18"/>
    <w:rsid w:val="00F74D6C"/>
    <w:rsid w:val="00F815AA"/>
    <w:rsid w:val="00FA7A7D"/>
    <w:rsid w:val="00FD24C4"/>
    <w:rsid w:val="00FD3837"/>
    <w:rsid w:val="0BC170AE"/>
    <w:rsid w:val="281F3E85"/>
    <w:rsid w:val="455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AA0DC2-A01E-4BD5-80A8-847D9262DF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176</Words>
  <Characters>1007</Characters>
  <Lines>8</Lines>
  <Paragraphs>2</Paragraphs>
  <TotalTime>0</TotalTime>
  <ScaleCrop>false</ScaleCrop>
  <LinksUpToDate>false</LinksUpToDate>
  <CharactersWithSpaces>1181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2019-06-06T04:08:00Z</dcterms:created>
  <dc:creator>sjp</dc:creator>
  <cp:lastModifiedBy>尚海军</cp:lastModifiedBy>
  <dcterms:modified xsi:type="dcterms:W3CDTF">2021-04-19T08:09:30Z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