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20" w:lineRule="auto"/>
        <w:jc w:val="center"/>
        <w:rPr>
          <w:rFonts w:hint="eastAsia" w:ascii="Times New Roman" w:hAnsi="Times New Roman" w:eastAsia="仿宋" w:cs="Times New Roman"/>
          <w:b/>
          <w:sz w:val="30"/>
          <w:szCs w:val="30"/>
        </w:rPr>
      </w:pPr>
      <w:r>
        <w:rPr>
          <w:rFonts w:hint="eastAsia" w:ascii="Times New Roman" w:hAnsi="Times New Roman" w:eastAsia="仿宋" w:cs="Times New Roman"/>
          <w:b/>
          <w:sz w:val="30"/>
          <w:szCs w:val="30"/>
        </w:rPr>
        <w:t>新疆阿克陶县苏萨尔布拉克-琼喀讷什一带锰矿</w:t>
      </w:r>
    </w:p>
    <w:p>
      <w:pPr>
        <w:spacing w:line="120" w:lineRule="auto"/>
        <w:jc w:val="center"/>
        <w:rPr>
          <w:rFonts w:ascii="Times New Roman" w:hAnsi="Times New Roman" w:eastAsia="仿宋" w:cs="Times New Roman"/>
          <w:b/>
          <w:sz w:val="30"/>
          <w:szCs w:val="30"/>
        </w:rPr>
      </w:pPr>
      <w:r>
        <w:rPr>
          <w:rFonts w:hint="eastAsia" w:ascii="Times New Roman" w:hAnsi="Times New Roman" w:eastAsia="仿宋" w:cs="Times New Roman"/>
          <w:b/>
          <w:sz w:val="30"/>
          <w:szCs w:val="30"/>
        </w:rPr>
        <w:t>普查</w:t>
      </w:r>
      <w:r>
        <w:rPr>
          <w:rFonts w:ascii="Times New Roman" w:hAnsi="Times New Roman" w:eastAsia="仿宋" w:cs="Times New Roman"/>
          <w:b/>
          <w:sz w:val="30"/>
          <w:szCs w:val="30"/>
        </w:rPr>
        <w:t>地质概况</w:t>
      </w:r>
    </w:p>
    <w:p>
      <w:pPr>
        <w:spacing w:line="360" w:lineRule="auto"/>
        <w:outlineLvl w:val="0"/>
        <w:rPr>
          <w:rFonts w:ascii="Times New Roman" w:hAnsi="Times New Roman" w:eastAsia="仿宋" w:cs="Times New Roman"/>
          <w:b/>
          <w:sz w:val="28"/>
          <w:szCs w:val="28"/>
        </w:rPr>
      </w:pPr>
      <w:bookmarkStart w:id="0" w:name="_Toc8801"/>
      <w:r>
        <w:rPr>
          <w:rFonts w:ascii="Times New Roman" w:hAnsi="Times New Roman" w:eastAsia="仿宋" w:cs="Times New Roman"/>
          <w:b/>
          <w:sz w:val="28"/>
          <w:szCs w:val="28"/>
        </w:rPr>
        <w:t>一、基本情况</w:t>
      </w:r>
      <w:bookmarkEnd w:id="0"/>
    </w:p>
    <w:p>
      <w:pPr>
        <w:spacing w:line="360" w:lineRule="auto"/>
        <w:ind w:firstLine="562" w:firstLineChars="200"/>
        <w:outlineLvl w:val="1"/>
        <w:rPr>
          <w:rFonts w:ascii="Times New Roman" w:hAnsi="Times New Roman" w:eastAsia="仿宋" w:cs="Times New Roman"/>
          <w:b/>
          <w:bCs/>
          <w:sz w:val="28"/>
          <w:szCs w:val="28"/>
        </w:rPr>
      </w:pPr>
      <w:bookmarkStart w:id="1" w:name="_Toc1042"/>
      <w:r>
        <w:rPr>
          <w:rFonts w:ascii="Times New Roman" w:hAnsi="Times New Roman" w:eastAsia="仿宋" w:cs="Times New Roman"/>
          <w:b/>
          <w:bCs/>
          <w:sz w:val="28"/>
          <w:szCs w:val="28"/>
        </w:rPr>
        <w:t>1.位置交通</w:t>
      </w:r>
      <w:bookmarkEnd w:id="1"/>
    </w:p>
    <w:p>
      <w:pPr>
        <w:spacing w:line="360" w:lineRule="auto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矿区位于新疆克孜勒苏柯尔克孜自治州阿克陶县，属阿克陶县木吉乡管辖。有矿山公路通达矿区，全程约340km，交通条件一般（图1）。</w:t>
      </w:r>
    </w:p>
    <w:p>
      <w:pPr>
        <w:spacing w:line="360" w:lineRule="auto"/>
        <w:ind w:firstLine="420" w:firstLineChars="200"/>
        <w:outlineLvl w:val="1"/>
        <w:rPr>
          <w:rFonts w:ascii="Times New Roman" w:hAnsi="Times New Roman" w:eastAsia="仿宋" w:cs="Times New Roman"/>
          <w:b/>
          <w:bCs/>
          <w:sz w:val="28"/>
          <w:szCs w:val="28"/>
        </w:rPr>
      </w:pPr>
      <w:bookmarkStart w:id="2" w:name="_Toc27796"/>
      <w:r>
        <w:rPr>
          <w:rFonts w:ascii="Times New Roman" w:hAnsi="Times New Roman" w:cs="Times New Roma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1162685</wp:posOffset>
            </wp:positionH>
            <wp:positionV relativeFrom="paragraph">
              <wp:posOffset>128270</wp:posOffset>
            </wp:positionV>
            <wp:extent cx="2943860" cy="4169410"/>
            <wp:effectExtent l="0" t="0" r="8890" b="2540"/>
            <wp:wrapSquare wrapText="bothSides"/>
            <wp:docPr id="2" name="图片 38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8" descr="图片1"/>
                    <pic:cNvPicPr>
                      <a:picLocks noChangeAspect="1"/>
                    </pic:cNvPicPr>
                  </pic:nvPicPr>
                  <pic:blipFill>
                    <a:blip r:embed="rId5"/>
                    <a:srcRect l="1544" t="1509" r="1038" b="1253"/>
                    <a:stretch>
                      <a:fillRect/>
                    </a:stretch>
                  </pic:blipFill>
                  <pic:spPr>
                    <a:xfrm>
                      <a:off x="0" y="0"/>
                      <a:ext cx="2943860" cy="416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firstLine="562" w:firstLineChars="200"/>
        <w:outlineLvl w:val="1"/>
        <w:rPr>
          <w:rFonts w:ascii="Times New Roman" w:hAnsi="Times New Roman" w:eastAsia="仿宋" w:cs="Times New Roman"/>
          <w:b/>
          <w:bCs/>
          <w:sz w:val="28"/>
          <w:szCs w:val="28"/>
        </w:rPr>
      </w:pPr>
    </w:p>
    <w:p>
      <w:pPr>
        <w:spacing w:line="360" w:lineRule="auto"/>
        <w:ind w:firstLine="562" w:firstLineChars="200"/>
        <w:outlineLvl w:val="1"/>
        <w:rPr>
          <w:rFonts w:ascii="Times New Roman" w:hAnsi="Times New Roman" w:eastAsia="仿宋" w:cs="Times New Roman"/>
          <w:b/>
          <w:bCs/>
          <w:sz w:val="28"/>
          <w:szCs w:val="28"/>
        </w:rPr>
      </w:pPr>
    </w:p>
    <w:p>
      <w:pPr>
        <w:spacing w:line="360" w:lineRule="auto"/>
        <w:ind w:firstLine="562" w:firstLineChars="200"/>
        <w:outlineLvl w:val="1"/>
        <w:rPr>
          <w:rFonts w:ascii="Times New Roman" w:hAnsi="Times New Roman" w:eastAsia="仿宋" w:cs="Times New Roman"/>
          <w:b/>
          <w:bCs/>
          <w:sz w:val="28"/>
          <w:szCs w:val="28"/>
        </w:rPr>
      </w:pPr>
    </w:p>
    <w:p>
      <w:pPr>
        <w:spacing w:line="360" w:lineRule="auto"/>
        <w:ind w:firstLine="562" w:firstLineChars="200"/>
        <w:outlineLvl w:val="1"/>
        <w:rPr>
          <w:rFonts w:ascii="Times New Roman" w:hAnsi="Times New Roman" w:eastAsia="仿宋" w:cs="Times New Roman"/>
          <w:b/>
          <w:bCs/>
          <w:sz w:val="28"/>
          <w:szCs w:val="28"/>
        </w:rPr>
      </w:pPr>
    </w:p>
    <w:p>
      <w:pPr>
        <w:spacing w:line="360" w:lineRule="auto"/>
        <w:ind w:firstLine="562" w:firstLineChars="200"/>
        <w:outlineLvl w:val="1"/>
        <w:rPr>
          <w:rFonts w:ascii="Times New Roman" w:hAnsi="Times New Roman" w:eastAsia="仿宋" w:cs="Times New Roman"/>
          <w:b/>
          <w:bCs/>
          <w:sz w:val="28"/>
          <w:szCs w:val="28"/>
        </w:rPr>
      </w:pPr>
    </w:p>
    <w:p>
      <w:pPr>
        <w:spacing w:line="360" w:lineRule="auto"/>
        <w:ind w:firstLine="562" w:firstLineChars="200"/>
        <w:outlineLvl w:val="1"/>
        <w:rPr>
          <w:rFonts w:ascii="Times New Roman" w:hAnsi="Times New Roman" w:eastAsia="仿宋" w:cs="Times New Roman"/>
          <w:b/>
          <w:bCs/>
          <w:sz w:val="28"/>
          <w:szCs w:val="28"/>
        </w:rPr>
      </w:pPr>
    </w:p>
    <w:p>
      <w:pPr>
        <w:spacing w:line="360" w:lineRule="auto"/>
        <w:ind w:firstLine="562" w:firstLineChars="200"/>
        <w:outlineLvl w:val="1"/>
        <w:rPr>
          <w:rFonts w:ascii="Times New Roman" w:hAnsi="Times New Roman" w:eastAsia="仿宋" w:cs="Times New Roman"/>
          <w:b/>
          <w:bCs/>
          <w:sz w:val="28"/>
          <w:szCs w:val="28"/>
        </w:rPr>
      </w:pPr>
    </w:p>
    <w:p>
      <w:pPr>
        <w:spacing w:line="360" w:lineRule="auto"/>
        <w:ind w:firstLine="562" w:firstLineChars="200"/>
        <w:outlineLvl w:val="1"/>
        <w:rPr>
          <w:rFonts w:ascii="Times New Roman" w:hAnsi="Times New Roman" w:eastAsia="仿宋" w:cs="Times New Roman"/>
          <w:b/>
          <w:bCs/>
          <w:sz w:val="28"/>
          <w:szCs w:val="28"/>
        </w:rPr>
      </w:pPr>
    </w:p>
    <w:p>
      <w:pPr>
        <w:spacing w:line="360" w:lineRule="auto"/>
        <w:ind w:firstLine="562" w:firstLineChars="200"/>
        <w:outlineLvl w:val="1"/>
        <w:rPr>
          <w:rFonts w:ascii="Times New Roman" w:hAnsi="Times New Roman" w:eastAsia="仿宋" w:cs="Times New Roman"/>
          <w:b/>
          <w:bCs/>
          <w:sz w:val="28"/>
          <w:szCs w:val="28"/>
        </w:rPr>
      </w:pPr>
    </w:p>
    <w:p>
      <w:pPr>
        <w:spacing w:line="360" w:lineRule="auto"/>
        <w:ind w:firstLine="562" w:firstLineChars="200"/>
        <w:outlineLvl w:val="1"/>
        <w:rPr>
          <w:rFonts w:ascii="Times New Roman" w:hAnsi="Times New Roman" w:eastAsia="仿宋" w:cs="Times New Roman"/>
          <w:b/>
          <w:bCs/>
          <w:sz w:val="28"/>
          <w:szCs w:val="28"/>
        </w:rPr>
      </w:pPr>
    </w:p>
    <w:p>
      <w:pPr>
        <w:spacing w:before="120" w:after="120" w:line="360" w:lineRule="auto"/>
        <w:ind w:left="210" w:leftChars="100" w:firstLine="2650" w:firstLineChars="1100"/>
        <w:jc w:val="both"/>
        <w:rPr>
          <w:rFonts w:ascii="Times New Roman" w:hAnsi="Times New Roman" w:eastAsia="仿宋" w:cs="Times New Roman"/>
          <w:b/>
          <w:bCs/>
          <w:sz w:val="28"/>
          <w:szCs w:val="28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图1  矿区交通位置图</w:t>
      </w:r>
    </w:p>
    <w:p>
      <w:pPr>
        <w:spacing w:line="360" w:lineRule="auto"/>
        <w:ind w:firstLine="562" w:firstLineChars="200"/>
        <w:outlineLvl w:val="1"/>
        <w:rPr>
          <w:rFonts w:ascii="Times New Roman" w:hAnsi="Times New Roman" w:eastAsia="仿宋" w:cs="Times New Roman"/>
          <w:b/>
          <w:bCs/>
          <w:sz w:val="28"/>
          <w:szCs w:val="28"/>
        </w:rPr>
      </w:pPr>
      <w:r>
        <w:rPr>
          <w:rFonts w:ascii="Times New Roman" w:hAnsi="Times New Roman" w:eastAsia="仿宋" w:cs="Times New Roman"/>
          <w:b/>
          <w:bCs/>
          <w:sz w:val="28"/>
          <w:szCs w:val="28"/>
        </w:rPr>
        <w:t>2.自然地理、经济状况</w:t>
      </w:r>
      <w:bookmarkEnd w:id="2"/>
    </w:p>
    <w:p>
      <w:pPr>
        <w:spacing w:line="360" w:lineRule="auto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矿区位于喜马拉雅帕米尔构造结的东部，西南天山东西向构造带与西昆仑南北向构造带交汇部位。山脉走向北西，山体巍峨、地势陡峻，海拔标高一般在3500m-4500m之间，相对高差在300m-900m，属高山中深切割区、侵蚀构造地貌。</w:t>
      </w:r>
    </w:p>
    <w:p>
      <w:pPr>
        <w:spacing w:line="360" w:lineRule="auto"/>
        <w:ind w:firstLine="562" w:firstLineChars="200"/>
        <w:outlineLvl w:val="1"/>
        <w:rPr>
          <w:rFonts w:ascii="Times New Roman" w:hAnsi="Times New Roman" w:eastAsia="仿宋" w:cs="Times New Roman"/>
          <w:b/>
          <w:bCs/>
          <w:sz w:val="28"/>
          <w:szCs w:val="28"/>
        </w:rPr>
      </w:pPr>
      <w:bookmarkStart w:id="3" w:name="_Toc1784"/>
      <w:r>
        <w:rPr>
          <w:rFonts w:ascii="Times New Roman" w:hAnsi="Times New Roman" w:eastAsia="仿宋" w:cs="Times New Roman"/>
          <w:b/>
          <w:bCs/>
          <w:sz w:val="28"/>
          <w:szCs w:val="28"/>
        </w:rPr>
        <w:t>3.探矿权设置及工作量、资金投入情况</w:t>
      </w:r>
      <w:bookmarkEnd w:id="3"/>
    </w:p>
    <w:p>
      <w:pPr>
        <w:ind w:firstLine="560" w:firstLineChars="200"/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z w:val="28"/>
          <w:szCs w:val="28"/>
        </w:rPr>
        <w:t>矿区</w:t>
      </w:r>
      <w:r>
        <w:rPr>
          <w:rFonts w:ascii="Times New Roman" w:hAnsi="Times New Roman" w:eastAsia="仿宋" w:cs="Times New Roman"/>
          <w:sz w:val="28"/>
          <w:szCs w:val="28"/>
        </w:rPr>
        <w:t>探矿权名称</w:t>
      </w:r>
      <w:r>
        <w:rPr>
          <w:rFonts w:hint="eastAsia" w:ascii="Times New Roman" w:hAnsi="Times New Roman" w:eastAsia="仿宋" w:cs="Times New Roman"/>
          <w:sz w:val="28"/>
          <w:szCs w:val="28"/>
        </w:rPr>
        <w:t>为</w:t>
      </w:r>
      <w:r>
        <w:rPr>
          <w:rFonts w:ascii="Times New Roman" w:hAnsi="Times New Roman" w:eastAsia="仿宋" w:cs="Times New Roman"/>
          <w:sz w:val="28"/>
          <w:szCs w:val="28"/>
        </w:rPr>
        <w:t>“新疆阿克陶县苏萨尔布拉克-琼喀讷什一带锰矿预查</w:t>
      </w:r>
      <w:r>
        <w:rPr>
          <w:rFonts w:ascii="Times New Roman" w:hAnsi="Times New Roman" w:eastAsia="仿宋" w:cs="Times New Roman"/>
          <w:kern w:val="0"/>
          <w:sz w:val="28"/>
          <w:szCs w:val="28"/>
        </w:rPr>
        <w:t>”，探矿权证号T65120170402053958。探矿权</w:t>
      </w:r>
      <w:r>
        <w:rPr>
          <w:rFonts w:ascii="Times New Roman" w:hAnsi="Times New Roman" w:eastAsia="仿宋" w:cs="Times New Roman"/>
          <w:sz w:val="28"/>
          <w:szCs w:val="28"/>
        </w:rPr>
        <w:t>范围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(2000坐标)</w:t>
      </w:r>
      <w:r>
        <w:rPr>
          <w:rFonts w:ascii="Times New Roman" w:hAnsi="Times New Roman" w:eastAsia="仿宋" w:cs="Times New Roman"/>
          <w:sz w:val="28"/>
          <w:szCs w:val="28"/>
        </w:rPr>
        <w:t>：</w:t>
      </w:r>
    </w:p>
    <w:p>
      <w:pPr>
        <w:rPr>
          <w:rFonts w:hint="eastAsia" w:ascii="Times New Roman" w:hAnsi="Times New Roman" w:eastAsia="仿宋" w:cs="Times New Roman"/>
          <w:sz w:val="28"/>
          <w:szCs w:val="28"/>
        </w:rPr>
      </w:pPr>
      <w:r>
        <w:rPr>
          <w:rFonts w:hint="eastAsia" w:ascii="Times New Roman" w:hAnsi="Times New Roman" w:eastAsia="仿宋" w:cs="Times New Roman"/>
          <w:sz w:val="28"/>
          <w:szCs w:val="28"/>
        </w:rPr>
        <w:t>7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3</w:t>
      </w:r>
      <w:r>
        <w:rPr>
          <w:rFonts w:hint="eastAsia" w:ascii="Times New Roman" w:hAnsi="Times New Roman" w:eastAsia="仿宋" w:cs="Times New Roman"/>
          <w:sz w:val="28"/>
          <w:szCs w:val="28"/>
        </w:rPr>
        <w:t>.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4403</w:t>
      </w:r>
      <w:r>
        <w:rPr>
          <w:rFonts w:hint="eastAsia" w:ascii="Times New Roman" w:hAnsi="Times New Roman" w:eastAsia="仿宋" w:cs="Times New Roman"/>
          <w:sz w:val="28"/>
          <w:szCs w:val="28"/>
        </w:rPr>
        <w:t>000,39.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2128</w:t>
      </w:r>
      <w:r>
        <w:rPr>
          <w:rFonts w:hint="eastAsia" w:ascii="Times New Roman" w:hAnsi="Times New Roman" w:eastAsia="仿宋" w:cs="Times New Roman"/>
          <w:sz w:val="28"/>
          <w:szCs w:val="28"/>
        </w:rPr>
        <w:t>000,7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3</w:t>
      </w:r>
      <w:r>
        <w:rPr>
          <w:rFonts w:hint="eastAsia" w:ascii="Times New Roman" w:hAnsi="Times New Roman" w:eastAsia="仿宋" w:cs="Times New Roman"/>
          <w:sz w:val="28"/>
          <w:szCs w:val="28"/>
        </w:rPr>
        <w:t>.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4448</w:t>
      </w:r>
      <w:r>
        <w:rPr>
          <w:rFonts w:hint="eastAsia" w:ascii="Times New Roman" w:hAnsi="Times New Roman" w:eastAsia="仿宋" w:cs="Times New Roman"/>
          <w:sz w:val="28"/>
          <w:szCs w:val="28"/>
        </w:rPr>
        <w:t>000,39.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2128</w:t>
      </w:r>
      <w:r>
        <w:rPr>
          <w:rFonts w:hint="eastAsia" w:ascii="Times New Roman" w:hAnsi="Times New Roman" w:eastAsia="仿宋" w:cs="Times New Roman"/>
          <w:sz w:val="28"/>
          <w:szCs w:val="28"/>
        </w:rPr>
        <w:t>000,7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3</w:t>
      </w:r>
      <w:r>
        <w:rPr>
          <w:rFonts w:hint="eastAsia" w:ascii="Times New Roman" w:hAnsi="Times New Roman" w:eastAsia="仿宋" w:cs="Times New Roman"/>
          <w:sz w:val="28"/>
          <w:szCs w:val="28"/>
        </w:rPr>
        <w:t>.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4536</w:t>
      </w:r>
      <w:r>
        <w:rPr>
          <w:rFonts w:hint="eastAsia" w:ascii="Times New Roman" w:hAnsi="Times New Roman" w:eastAsia="仿宋" w:cs="Times New Roman"/>
          <w:sz w:val="28"/>
          <w:szCs w:val="28"/>
        </w:rPr>
        <w:t>000,39.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2040</w:t>
      </w:r>
      <w:r>
        <w:rPr>
          <w:rFonts w:hint="eastAsia" w:ascii="Times New Roman" w:hAnsi="Times New Roman" w:eastAsia="仿宋" w:cs="Times New Roman"/>
          <w:sz w:val="28"/>
          <w:szCs w:val="28"/>
        </w:rPr>
        <w:t>000,</w:t>
      </w:r>
    </w:p>
    <w:p>
      <w:pPr>
        <w:rPr>
          <w:rFonts w:ascii="Times New Roman" w:hAnsi="Times New Roman" w:eastAsia="仿宋" w:cs="Times New Roman"/>
          <w:sz w:val="28"/>
          <w:szCs w:val="28"/>
        </w:rPr>
      </w:pPr>
      <w:r>
        <w:rPr>
          <w:rFonts w:hint="eastAsia" w:ascii="Times New Roman" w:hAnsi="Times New Roman" w:eastAsia="仿宋" w:cs="Times New Roman"/>
          <w:sz w:val="28"/>
          <w:szCs w:val="28"/>
        </w:rPr>
        <w:t>7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3</w:t>
      </w:r>
      <w:r>
        <w:rPr>
          <w:rFonts w:hint="eastAsia" w:ascii="Times New Roman" w:hAnsi="Times New Roman" w:eastAsia="仿宋" w:cs="Times New Roman"/>
          <w:sz w:val="28"/>
          <w:szCs w:val="28"/>
        </w:rPr>
        <w:t>.4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403</w:t>
      </w:r>
      <w:r>
        <w:rPr>
          <w:rFonts w:hint="eastAsia" w:ascii="Times New Roman" w:hAnsi="Times New Roman" w:eastAsia="仿宋" w:cs="Times New Roman"/>
          <w:sz w:val="28"/>
          <w:szCs w:val="28"/>
        </w:rPr>
        <w:t>000,39.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2047</w:t>
      </w:r>
      <w:r>
        <w:rPr>
          <w:rFonts w:hint="eastAsia" w:ascii="Times New Roman" w:hAnsi="Times New Roman" w:eastAsia="仿宋" w:cs="Times New Roman"/>
          <w:sz w:val="28"/>
          <w:szCs w:val="28"/>
        </w:rPr>
        <w:t>000,</w:t>
      </w:r>
      <w:r>
        <w:rPr>
          <w:rFonts w:ascii="Times New Roman" w:hAnsi="Times New Roman" w:eastAsia="仿宋" w:cs="Times New Roman"/>
          <w:sz w:val="28"/>
          <w:szCs w:val="28"/>
        </w:rPr>
        <w:t>面积2.2</w:t>
      </w:r>
      <w:bookmarkStart w:id="13" w:name="_GoBack"/>
      <w:bookmarkEnd w:id="13"/>
      <w:r>
        <w:rPr>
          <w:rFonts w:ascii="Times New Roman" w:hAnsi="Times New Roman" w:eastAsia="仿宋" w:cs="Times New Roman"/>
          <w:sz w:val="28"/>
          <w:szCs w:val="28"/>
        </w:rPr>
        <w:t>km</w:t>
      </w:r>
      <w:r>
        <w:rPr>
          <w:rFonts w:ascii="Times New Roman" w:hAnsi="Times New Roman" w:eastAsia="仿宋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仿宋" w:cs="Times New Roman"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投入主要实物工作量有1:1万地质草测9.57km</w:t>
      </w:r>
      <w:r>
        <w:rPr>
          <w:rFonts w:ascii="Times New Roman" w:hAnsi="Times New Roman" w:eastAsia="仿宋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仿宋" w:cs="Times New Roman"/>
          <w:sz w:val="28"/>
          <w:szCs w:val="28"/>
        </w:rPr>
        <w:t>，1:2千地质测量2.00km</w:t>
      </w:r>
      <w:r>
        <w:rPr>
          <w:rFonts w:ascii="Times New Roman" w:hAnsi="Times New Roman" w:eastAsia="仿宋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仿宋" w:cs="Times New Roman"/>
          <w:sz w:val="28"/>
          <w:szCs w:val="28"/>
        </w:rPr>
        <w:t>，音频大地电磁测深（AMT）54点，槽探（剥土）3574m</w:t>
      </w:r>
      <w:r>
        <w:rPr>
          <w:rFonts w:ascii="Times New Roman" w:hAnsi="Times New Roman" w:eastAsia="仿宋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eastAsia="仿宋" w:cs="Times New Roman"/>
          <w:sz w:val="28"/>
          <w:szCs w:val="28"/>
        </w:rPr>
        <w:t>，钻探1002.26m。投入勘查资金350万元。</w:t>
      </w:r>
    </w:p>
    <w:p>
      <w:pPr>
        <w:spacing w:line="360" w:lineRule="auto"/>
        <w:ind w:firstLine="562" w:firstLineChars="200"/>
        <w:outlineLvl w:val="0"/>
        <w:rPr>
          <w:rFonts w:ascii="Times New Roman" w:hAnsi="Times New Roman" w:eastAsia="仿宋" w:cs="Times New Roman"/>
          <w:b/>
          <w:sz w:val="28"/>
          <w:szCs w:val="28"/>
        </w:rPr>
      </w:pPr>
      <w:bookmarkStart w:id="4" w:name="_Toc1536"/>
      <w:r>
        <w:rPr>
          <w:rFonts w:ascii="Times New Roman" w:hAnsi="Times New Roman" w:eastAsia="仿宋" w:cs="Times New Roman"/>
          <w:b/>
          <w:sz w:val="28"/>
          <w:szCs w:val="28"/>
        </w:rPr>
        <w:t>二、成矿地质背景</w:t>
      </w:r>
      <w:bookmarkEnd w:id="4"/>
    </w:p>
    <w:p>
      <w:pPr>
        <w:spacing w:line="360" w:lineRule="auto"/>
        <w:ind w:firstLine="562" w:firstLineChars="200"/>
        <w:outlineLvl w:val="1"/>
        <w:rPr>
          <w:rFonts w:ascii="Times New Roman" w:hAnsi="Times New Roman" w:eastAsia="仿宋" w:cs="Times New Roman"/>
          <w:b/>
          <w:bCs/>
          <w:sz w:val="28"/>
          <w:szCs w:val="28"/>
        </w:rPr>
      </w:pPr>
      <w:bookmarkStart w:id="5" w:name="_Toc127"/>
      <w:r>
        <w:rPr>
          <w:rFonts w:ascii="Times New Roman" w:hAnsi="Times New Roman" w:eastAsia="仿宋" w:cs="Times New Roman"/>
          <w:b/>
          <w:bCs/>
          <w:sz w:val="28"/>
          <w:szCs w:val="28"/>
        </w:rPr>
        <w:t>1.矿区地质特征</w:t>
      </w:r>
      <w:bookmarkEnd w:id="5"/>
    </w:p>
    <w:p>
      <w:pPr>
        <w:keepLines/>
        <w:spacing w:line="360" w:lineRule="auto"/>
        <w:ind w:firstLine="562" w:firstLineChars="200"/>
        <w:outlineLvl w:val="2"/>
        <w:rPr>
          <w:rFonts w:ascii="Times New Roman" w:hAnsi="Times New Roman" w:eastAsia="仿宋" w:cs="Times New Roman"/>
          <w:b/>
          <w:sz w:val="24"/>
          <w:szCs w:val="24"/>
        </w:rPr>
      </w:pPr>
      <w:r>
        <w:rPr>
          <w:rFonts w:ascii="Times New Roman" w:hAnsi="Times New Roman" w:eastAsia="楷体" w:cs="Times New Roman"/>
          <w:b/>
          <w:bCs/>
          <w:sz w:val="28"/>
          <w:szCs w:val="28"/>
        </w:rPr>
        <w:t>（1）矿区地层</w:t>
      </w:r>
    </w:p>
    <w:p>
      <w:pPr>
        <w:ind w:firstLine="560" w:firstLineChars="200"/>
        <w:rPr>
          <w:rFonts w:ascii="Times New Roman" w:hAnsi="Times New Roman" w:eastAsia="仿宋" w:cs="Times New Roman"/>
          <w:bCs/>
          <w:sz w:val="28"/>
          <w:szCs w:val="28"/>
        </w:rPr>
      </w:pPr>
      <w:bookmarkStart w:id="6" w:name="_Toc215742301"/>
      <w:bookmarkStart w:id="7" w:name="_Toc215633779"/>
      <w:r>
        <w:rPr>
          <w:rFonts w:ascii="Times New Roman" w:hAnsi="Times New Roman" w:eastAsia="仿宋" w:cs="Times New Roman"/>
          <w:bCs/>
          <w:sz w:val="28"/>
          <w:szCs w:val="28"/>
        </w:rPr>
        <w:t>矿区出露地层主要为上石炭统卡拉阿特河组（C</w:t>
      </w:r>
      <w:r>
        <w:rPr>
          <w:rFonts w:ascii="Times New Roman" w:hAnsi="Times New Roman" w:eastAsia="仿宋" w:cs="Times New Roman"/>
          <w:bCs/>
          <w:sz w:val="28"/>
          <w:szCs w:val="28"/>
          <w:vertAlign w:val="subscript"/>
        </w:rPr>
        <w:t>2</w:t>
      </w:r>
      <w:r>
        <w:rPr>
          <w:rFonts w:ascii="Times New Roman" w:hAnsi="Times New Roman" w:eastAsia="仿宋" w:cs="Times New Roman"/>
          <w:bCs/>
          <w:i/>
          <w:sz w:val="28"/>
          <w:szCs w:val="28"/>
        </w:rPr>
        <w:t>k</w:t>
      </w:r>
      <w:r>
        <w:rPr>
          <w:rFonts w:ascii="Times New Roman" w:hAnsi="Times New Roman" w:eastAsia="仿宋" w:cs="Times New Roman"/>
          <w:bCs/>
          <w:sz w:val="28"/>
          <w:szCs w:val="28"/>
        </w:rPr>
        <w:t>）、下二叠统玛尔坎雀库塞山组（P</w:t>
      </w:r>
      <w:r>
        <w:rPr>
          <w:rFonts w:ascii="Times New Roman" w:hAnsi="Times New Roman" w:eastAsia="仿宋" w:cs="Times New Roman"/>
          <w:bCs/>
          <w:sz w:val="28"/>
          <w:szCs w:val="28"/>
          <w:vertAlign w:val="subscript"/>
        </w:rPr>
        <w:t>1</w:t>
      </w:r>
      <w:r>
        <w:rPr>
          <w:rFonts w:ascii="Times New Roman" w:hAnsi="Times New Roman" w:eastAsia="仿宋" w:cs="Times New Roman"/>
          <w:bCs/>
          <w:i/>
          <w:sz w:val="28"/>
          <w:szCs w:val="28"/>
        </w:rPr>
        <w:t>m</w:t>
      </w:r>
      <w:r>
        <w:rPr>
          <w:rFonts w:ascii="Times New Roman" w:hAnsi="Times New Roman" w:eastAsia="仿宋" w:cs="Times New Roman"/>
          <w:bCs/>
          <w:sz w:val="28"/>
          <w:szCs w:val="28"/>
        </w:rPr>
        <w:t>）、下白垩统江额结尔组（K</w:t>
      </w:r>
      <w:r>
        <w:rPr>
          <w:rFonts w:ascii="Times New Roman" w:hAnsi="Times New Roman" w:eastAsia="仿宋" w:cs="Times New Roman"/>
          <w:bCs/>
          <w:sz w:val="28"/>
          <w:szCs w:val="28"/>
          <w:vertAlign w:val="subscript"/>
        </w:rPr>
        <w:t>1</w:t>
      </w:r>
      <w:r>
        <w:rPr>
          <w:rFonts w:ascii="Times New Roman" w:hAnsi="Times New Roman" w:eastAsia="仿宋" w:cs="Times New Roman"/>
          <w:bCs/>
          <w:sz w:val="28"/>
          <w:szCs w:val="28"/>
        </w:rPr>
        <w:t>j）、上更新统阿图什组下段（N</w:t>
      </w:r>
      <w:r>
        <w:rPr>
          <w:rFonts w:ascii="Times New Roman" w:hAnsi="Times New Roman" w:eastAsia="仿宋" w:cs="Times New Roman"/>
          <w:bCs/>
          <w:sz w:val="28"/>
          <w:szCs w:val="28"/>
          <w:vertAlign w:val="subscript"/>
        </w:rPr>
        <w:t>2</w:t>
      </w:r>
      <w:r>
        <w:rPr>
          <w:rFonts w:ascii="Times New Roman" w:hAnsi="Times New Roman" w:eastAsia="仿宋" w:cs="Times New Roman"/>
          <w:bCs/>
          <w:sz w:val="28"/>
          <w:szCs w:val="28"/>
        </w:rPr>
        <w:t>a</w:t>
      </w:r>
      <w:r>
        <w:rPr>
          <w:rFonts w:ascii="Times New Roman" w:hAnsi="Times New Roman" w:eastAsia="仿宋" w:cs="Times New Roman"/>
          <w:bCs/>
          <w:sz w:val="28"/>
          <w:szCs w:val="28"/>
          <w:vertAlign w:val="superscript"/>
        </w:rPr>
        <w:t>1</w:t>
      </w:r>
      <w:r>
        <w:rPr>
          <w:rFonts w:ascii="Times New Roman" w:hAnsi="Times New Roman" w:eastAsia="仿宋" w:cs="Times New Roman"/>
          <w:bCs/>
          <w:sz w:val="28"/>
          <w:szCs w:val="28"/>
        </w:rPr>
        <w:t>）、全新统冰川堆积层</w:t>
      </w:r>
      <w:r>
        <w:rPr>
          <w:rFonts w:ascii="Times New Roman" w:hAnsi="Times New Roman" w:eastAsia="仿宋" w:cs="Times New Roman"/>
          <w:sz w:val="28"/>
          <w:szCs w:val="28"/>
        </w:rPr>
        <w:t>（Qh</w:t>
      </w:r>
      <w:r>
        <w:rPr>
          <w:rFonts w:ascii="Times New Roman" w:hAnsi="Times New Roman" w:eastAsia="仿宋" w:cs="Times New Roman"/>
          <w:sz w:val="28"/>
          <w:szCs w:val="28"/>
          <w:vertAlign w:val="superscript"/>
        </w:rPr>
        <w:t>g</w:t>
      </w:r>
      <w:r>
        <w:rPr>
          <w:rFonts w:ascii="Times New Roman" w:hAnsi="Times New Roman" w:eastAsia="仿宋" w:cs="Times New Roman"/>
          <w:i/>
          <w:sz w:val="28"/>
          <w:szCs w:val="28"/>
          <w:vertAlign w:val="superscript"/>
        </w:rPr>
        <w:t>l</w:t>
      </w:r>
      <w:r>
        <w:rPr>
          <w:rFonts w:ascii="Times New Roman" w:hAnsi="Times New Roman" w:eastAsia="仿宋" w:cs="Times New Roman"/>
          <w:sz w:val="28"/>
          <w:szCs w:val="28"/>
        </w:rPr>
        <w:t>）</w:t>
      </w:r>
      <w:r>
        <w:rPr>
          <w:rFonts w:ascii="Times New Roman" w:hAnsi="Times New Roman" w:eastAsia="仿宋" w:cs="Times New Roman"/>
          <w:bCs/>
          <w:sz w:val="28"/>
          <w:szCs w:val="28"/>
        </w:rPr>
        <w:t>、冲洪积层</w:t>
      </w:r>
      <w:r>
        <w:rPr>
          <w:rFonts w:ascii="Times New Roman" w:hAnsi="Times New Roman" w:eastAsia="仿宋" w:cs="Times New Roman"/>
          <w:sz w:val="28"/>
          <w:szCs w:val="28"/>
        </w:rPr>
        <w:t>（Qh</w:t>
      </w:r>
      <w:r>
        <w:rPr>
          <w:rFonts w:ascii="Times New Roman" w:hAnsi="Times New Roman" w:eastAsia="仿宋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eastAsia="仿宋" w:cs="Times New Roman"/>
          <w:i/>
          <w:iCs/>
          <w:sz w:val="28"/>
          <w:szCs w:val="28"/>
          <w:vertAlign w:val="superscript"/>
        </w:rPr>
        <w:t>pal</w:t>
      </w:r>
      <w:r>
        <w:rPr>
          <w:rFonts w:ascii="Times New Roman" w:hAnsi="Times New Roman" w:eastAsia="仿宋" w:cs="Times New Roman"/>
          <w:sz w:val="28"/>
          <w:szCs w:val="28"/>
        </w:rPr>
        <w:t>）、</w:t>
      </w:r>
      <w:r>
        <w:rPr>
          <w:rFonts w:ascii="Times New Roman" w:hAnsi="Times New Roman" w:eastAsia="仿宋" w:cs="Times New Roman"/>
          <w:bCs/>
          <w:sz w:val="28"/>
          <w:szCs w:val="28"/>
        </w:rPr>
        <w:t>冲积层</w:t>
      </w:r>
      <w:r>
        <w:rPr>
          <w:rFonts w:ascii="Times New Roman" w:hAnsi="Times New Roman" w:eastAsia="仿宋" w:cs="Times New Roman"/>
          <w:spacing w:val="2"/>
          <w:sz w:val="28"/>
          <w:szCs w:val="28"/>
        </w:rPr>
        <w:t>（Qh</w:t>
      </w:r>
      <w:r>
        <w:rPr>
          <w:rFonts w:ascii="Times New Roman" w:hAnsi="Times New Roman" w:eastAsia="仿宋" w:cs="Times New Roman"/>
          <w:spacing w:val="2"/>
          <w:sz w:val="28"/>
          <w:szCs w:val="28"/>
          <w:vertAlign w:val="subscript"/>
        </w:rPr>
        <w:t>2</w:t>
      </w:r>
      <w:r>
        <w:rPr>
          <w:rFonts w:ascii="Times New Roman" w:hAnsi="Times New Roman" w:eastAsia="仿宋" w:cs="Times New Roman"/>
          <w:i/>
          <w:spacing w:val="2"/>
          <w:sz w:val="28"/>
          <w:szCs w:val="28"/>
          <w:vertAlign w:val="superscript"/>
        </w:rPr>
        <w:t>al</w:t>
      </w:r>
      <w:r>
        <w:rPr>
          <w:rFonts w:ascii="Times New Roman" w:hAnsi="Times New Roman" w:eastAsia="仿宋" w:cs="Times New Roman"/>
          <w:spacing w:val="2"/>
          <w:sz w:val="28"/>
          <w:szCs w:val="28"/>
        </w:rPr>
        <w:t>）</w:t>
      </w:r>
      <w:r>
        <w:rPr>
          <w:rFonts w:ascii="Times New Roman" w:hAnsi="Times New Roman" w:eastAsia="仿宋" w:cs="Times New Roman"/>
          <w:bCs/>
          <w:sz w:val="28"/>
          <w:szCs w:val="28"/>
        </w:rPr>
        <w:t>，其中上石炭统卡拉阿特河组（C</w:t>
      </w:r>
      <w:r>
        <w:rPr>
          <w:rFonts w:ascii="Times New Roman" w:hAnsi="Times New Roman" w:eastAsia="仿宋" w:cs="Times New Roman"/>
          <w:bCs/>
          <w:sz w:val="28"/>
          <w:szCs w:val="28"/>
          <w:vertAlign w:val="subscript"/>
        </w:rPr>
        <w:t>2</w:t>
      </w:r>
      <w:r>
        <w:rPr>
          <w:rFonts w:ascii="Times New Roman" w:hAnsi="Times New Roman" w:eastAsia="仿宋" w:cs="Times New Roman"/>
          <w:bCs/>
          <w:i/>
          <w:sz w:val="28"/>
          <w:szCs w:val="28"/>
        </w:rPr>
        <w:t>k</w:t>
      </w:r>
      <w:r>
        <w:rPr>
          <w:rFonts w:ascii="Times New Roman" w:hAnsi="Times New Roman" w:eastAsia="仿宋" w:cs="Times New Roman"/>
          <w:bCs/>
          <w:sz w:val="28"/>
          <w:szCs w:val="28"/>
        </w:rPr>
        <w:t>）为锰矿主要赋存层位。</w:t>
      </w:r>
    </w:p>
    <w:p>
      <w:pPr>
        <w:keepLines/>
        <w:spacing w:line="360" w:lineRule="auto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矿区构造简单，主要</w:t>
      </w:r>
      <w:r>
        <w:rPr>
          <w:rFonts w:hint="eastAsia" w:ascii="Times New Roman" w:hAnsi="Times New Roman" w:eastAsia="仿宋" w:cs="Times New Roman"/>
          <w:sz w:val="28"/>
          <w:szCs w:val="28"/>
        </w:rPr>
        <w:t>为</w:t>
      </w:r>
      <w:r>
        <w:rPr>
          <w:rFonts w:ascii="Times New Roman" w:hAnsi="Times New Roman" w:eastAsia="仿宋" w:cs="Times New Roman"/>
          <w:sz w:val="28"/>
          <w:szCs w:val="28"/>
        </w:rPr>
        <w:t>背斜褶皱及断裂构造。背斜核部沿玛尔坎苏河河谷分布，为洪积物覆盖，玛尔坎苏背斜构造控制了该区域上石炭统卡拉阿特河组地层，斜轴向总体呈近东西向，倾角近于直立，两翼地层基本对称，背斜北翼产状较陡，倾角为75°</w:t>
      </w:r>
      <w:r>
        <w:rPr>
          <w:rFonts w:hint="eastAsia" w:ascii="Times New Roman" w:hAnsi="Times New Roman" w:eastAsia="仿宋" w:cs="Times New Roman"/>
          <w:sz w:val="28"/>
          <w:szCs w:val="28"/>
        </w:rPr>
        <w:t>-</w:t>
      </w:r>
      <w:r>
        <w:rPr>
          <w:rFonts w:ascii="Times New Roman" w:hAnsi="Times New Roman" w:eastAsia="仿宋" w:cs="Times New Roman"/>
          <w:sz w:val="28"/>
          <w:szCs w:val="28"/>
        </w:rPr>
        <w:t>88°，南翼稍缓，倾角为65°</w:t>
      </w:r>
      <w:r>
        <w:rPr>
          <w:rFonts w:hint="eastAsia" w:ascii="Times New Roman" w:hAnsi="Times New Roman" w:eastAsia="仿宋" w:cs="Times New Roman"/>
          <w:sz w:val="28"/>
          <w:szCs w:val="28"/>
        </w:rPr>
        <w:t>-</w:t>
      </w:r>
      <w:r>
        <w:rPr>
          <w:rFonts w:ascii="Times New Roman" w:hAnsi="Times New Roman" w:eastAsia="仿宋" w:cs="Times New Roman"/>
          <w:sz w:val="28"/>
          <w:szCs w:val="28"/>
        </w:rPr>
        <w:t>70°。</w:t>
      </w:r>
    </w:p>
    <w:p>
      <w:pPr>
        <w:keepLines/>
        <w:spacing w:line="360" w:lineRule="auto"/>
        <w:ind w:firstLine="562" w:firstLineChars="200"/>
        <w:outlineLvl w:val="2"/>
        <w:rPr>
          <w:rFonts w:ascii="Times New Roman" w:hAnsi="Times New Roman" w:eastAsia="楷体" w:cs="Times New Roman"/>
          <w:b/>
          <w:bCs/>
          <w:sz w:val="28"/>
          <w:szCs w:val="28"/>
        </w:rPr>
      </w:pPr>
      <w:bookmarkStart w:id="8" w:name="_Toc22580"/>
      <w:bookmarkStart w:id="9" w:name="_Toc517801658"/>
      <w:r>
        <w:rPr>
          <w:rFonts w:ascii="Times New Roman" w:hAnsi="Times New Roman" w:eastAsia="楷体" w:cs="Times New Roman"/>
          <w:b/>
          <w:bCs/>
          <w:sz w:val="28"/>
          <w:szCs w:val="28"/>
        </w:rPr>
        <w:t>（2） 含锰岩系</w:t>
      </w:r>
      <w:bookmarkEnd w:id="8"/>
      <w:bookmarkEnd w:id="9"/>
    </w:p>
    <w:p>
      <w:pPr>
        <w:keepLines/>
        <w:spacing w:line="360" w:lineRule="auto"/>
        <w:ind w:firstLine="560" w:firstLineChars="200"/>
        <w:rPr>
          <w:rFonts w:hint="eastAsia" w:ascii="Times New Roman" w:hAnsi="Times New Roman" w:eastAsia="仿宋" w:cs="Times New Roman"/>
          <w:sz w:val="28"/>
          <w:szCs w:val="28"/>
        </w:rPr>
      </w:pPr>
      <w:r>
        <w:rPr>
          <w:rFonts w:hint="eastAsia" w:ascii="Times New Roman" w:hAnsi="Times New Roman" w:eastAsia="仿宋" w:cs="Times New Roman"/>
          <w:sz w:val="28"/>
          <w:szCs w:val="28"/>
        </w:rPr>
        <w:t>区域上</w:t>
      </w:r>
      <w:r>
        <w:rPr>
          <w:rFonts w:ascii="Times New Roman" w:hAnsi="Times New Roman" w:eastAsia="仿宋" w:cs="Times New Roman"/>
          <w:sz w:val="28"/>
          <w:szCs w:val="28"/>
        </w:rPr>
        <w:t>含锰岩系为上石炭统喀拉阿特河组，沿玛尔坎苏河一带分布。主要有泥晶灰岩、细晶灰岩、砂屑灰岩及碳酸锰矿层组成。锰矿层呈层状、似层状赋存于含锰岩系上段，顶底板均为泥灰岩、泥晶灰岩，明显受层位控制，产状与地层产状一致，延伸较为稳定。</w:t>
      </w:r>
      <w:r>
        <w:rPr>
          <w:rFonts w:hint="eastAsia" w:ascii="Times New Roman" w:hAnsi="Times New Roman" w:eastAsia="仿宋" w:cs="Times New Roman"/>
          <w:sz w:val="28"/>
          <w:szCs w:val="28"/>
        </w:rPr>
        <w:t>圈定出含锰矿化带2条，长1.8千米，宽1.15～4.51米，平均厚度3.28米，Mn品位1.25～4.07%；Ⅱ号锰矿化带长2.1千米，宽1.8～11.13米，平均厚度5.49米，Mn品位2.68～4.29%。</w:t>
      </w:r>
    </w:p>
    <w:bookmarkEnd w:id="6"/>
    <w:bookmarkEnd w:id="7"/>
    <w:p>
      <w:pPr>
        <w:ind w:firstLine="562" w:firstLineChars="200"/>
        <w:outlineLvl w:val="1"/>
        <w:rPr>
          <w:rFonts w:ascii="Times New Roman" w:hAnsi="Times New Roman" w:eastAsia="仿宋" w:cs="Times New Roman"/>
          <w:b/>
          <w:bCs/>
          <w:sz w:val="28"/>
          <w:szCs w:val="28"/>
        </w:rPr>
      </w:pPr>
      <w:bookmarkStart w:id="10" w:name="_Toc17325"/>
      <w:r>
        <w:rPr>
          <w:rFonts w:ascii="Times New Roman" w:hAnsi="Times New Roman" w:eastAsia="仿宋" w:cs="Times New Roman"/>
          <w:b/>
          <w:bCs/>
          <w:sz w:val="28"/>
          <w:szCs w:val="28"/>
        </w:rPr>
        <w:t>2.矿体地质特征</w:t>
      </w:r>
      <w:bookmarkEnd w:id="10"/>
    </w:p>
    <w:p>
      <w:pPr>
        <w:spacing w:line="360" w:lineRule="auto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根据地表</w:t>
      </w:r>
      <w:r>
        <w:rPr>
          <w:rFonts w:hint="eastAsia" w:ascii="Times New Roman" w:hAnsi="Times New Roman" w:eastAsia="仿宋" w:cs="Times New Roman"/>
          <w:sz w:val="28"/>
          <w:szCs w:val="28"/>
        </w:rPr>
        <w:t>探槽</w:t>
      </w:r>
      <w:r>
        <w:rPr>
          <w:rFonts w:ascii="Times New Roman" w:hAnsi="Times New Roman" w:eastAsia="仿宋" w:cs="Times New Roman"/>
          <w:sz w:val="28"/>
          <w:szCs w:val="28"/>
        </w:rPr>
        <w:t>及钻孔见矿情况看，矿区含锰矿层品位普遍较低，Mn品位1.25%-4.29%。</w:t>
      </w:r>
    </w:p>
    <w:p>
      <w:pPr>
        <w:outlineLvl w:val="0"/>
        <w:rPr>
          <w:rFonts w:ascii="Times New Roman" w:hAnsi="Times New Roman" w:eastAsia="仿宋" w:cs="Times New Roman"/>
          <w:b/>
          <w:sz w:val="28"/>
          <w:szCs w:val="28"/>
        </w:rPr>
      </w:pPr>
      <w:bookmarkStart w:id="11" w:name="_Toc21975"/>
      <w:r>
        <w:rPr>
          <w:rFonts w:ascii="Times New Roman" w:hAnsi="Times New Roman" w:eastAsia="仿宋" w:cs="Times New Roman"/>
          <w:b/>
          <w:sz w:val="28"/>
          <w:szCs w:val="28"/>
        </w:rPr>
        <w:t>三、勘查程度</w:t>
      </w:r>
      <w:bookmarkEnd w:id="11"/>
    </w:p>
    <w:p>
      <w:pPr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矿区勘查程度已达到预查程度。</w:t>
      </w:r>
    </w:p>
    <w:p>
      <w:pPr>
        <w:outlineLvl w:val="0"/>
        <w:rPr>
          <w:rFonts w:ascii="Times New Roman" w:hAnsi="Times New Roman" w:eastAsia="仿宋" w:cs="Times New Roman"/>
          <w:b/>
          <w:sz w:val="28"/>
          <w:szCs w:val="28"/>
        </w:rPr>
      </w:pPr>
      <w:bookmarkStart w:id="12" w:name="_Toc28971"/>
      <w:r>
        <w:rPr>
          <w:rFonts w:ascii="Times New Roman" w:hAnsi="Times New Roman" w:eastAsia="仿宋" w:cs="Times New Roman"/>
          <w:b/>
          <w:sz w:val="28"/>
          <w:szCs w:val="28"/>
        </w:rPr>
        <w:t>四、资源量估算结果</w:t>
      </w:r>
      <w:bookmarkEnd w:id="12"/>
    </w:p>
    <w:p>
      <w:pPr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 xml:space="preserve">     矿区未圈定锰矿体，亦未进行资源量估算。</w:t>
      </w:r>
    </w:p>
    <w:p>
      <w:pPr>
        <w:pStyle w:val="2"/>
        <w:ind w:left="210" w:firstLine="482"/>
        <w:sectPr>
          <w:footerReference r:id="rId3" w:type="default"/>
          <w:pgSz w:w="11906" w:h="16838"/>
          <w:pgMar w:top="1701" w:right="1418" w:bottom="1418" w:left="1418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rPr>
          <w:rFonts w:ascii="Times New Roman" w:hAnsi="Times New Roman" w:cs="Times New Roman"/>
        </w:rPr>
        <w:sectPr>
          <w:pgSz w:w="16838" w:h="11906" w:orient="landscape"/>
          <w:pgMar w:top="1417" w:right="1701" w:bottom="1417" w:left="1418" w:header="851" w:footer="992" w:gutter="0"/>
          <w:pgNumType w:start="1"/>
          <w:cols w:space="0" w:num="1"/>
          <w:docGrid w:type="lines" w:linePitch="312" w:charSpace="0"/>
        </w:sectPr>
      </w:pPr>
      <w:r>
        <w:drawing>
          <wp:inline distT="0" distB="0" distL="0" distR="0">
            <wp:extent cx="8711565" cy="551815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11565" cy="551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="仿宋" w:cs="Times New Roman"/>
          <w:b/>
          <w:sz w:val="24"/>
          <w:szCs w:val="24"/>
        </w:rPr>
      </w:pPr>
      <w:r>
        <w:rPr>
          <w:rFonts w:ascii="Times New Roman" w:hAnsi="Times New Roman" w:eastAsia="仿宋" w:cs="Times New Roman"/>
          <w:b/>
          <w:sz w:val="24"/>
          <w:szCs w:val="24"/>
        </w:rPr>
        <w:t>表1  探矿权范围、项目工作范围拐点坐标</w:t>
      </w:r>
    </w:p>
    <w:tbl>
      <w:tblPr>
        <w:tblStyle w:val="13"/>
        <w:tblW w:w="91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3"/>
        <w:gridCol w:w="1829"/>
        <w:gridCol w:w="1922"/>
        <w:gridCol w:w="2049"/>
        <w:gridCol w:w="1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14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拐点坐标</w:t>
            </w:r>
          </w:p>
        </w:tc>
        <w:tc>
          <w:tcPr>
            <w:tcW w:w="37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地理坐标（西安80）</w:t>
            </w:r>
          </w:p>
        </w:tc>
        <w:tc>
          <w:tcPr>
            <w:tcW w:w="3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6度带大地坐标（西安80）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14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东经</w:t>
            </w:r>
          </w:p>
        </w:tc>
        <w:tc>
          <w:tcPr>
            <w:tcW w:w="1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北纬</w:t>
            </w:r>
          </w:p>
        </w:tc>
        <w:tc>
          <w:tcPr>
            <w:tcW w:w="2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X（m）</w:t>
            </w:r>
          </w:p>
        </w:tc>
        <w:tc>
          <w:tcPr>
            <w:tcW w:w="1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Y（m）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73°44′03″</w:t>
            </w:r>
          </w:p>
        </w:tc>
        <w:tc>
          <w:tcPr>
            <w:tcW w:w="1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39°21′28″</w:t>
            </w:r>
          </w:p>
        </w:tc>
        <w:tc>
          <w:tcPr>
            <w:tcW w:w="2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4358990.47</w:t>
            </w:r>
          </w:p>
        </w:tc>
        <w:tc>
          <w:tcPr>
            <w:tcW w:w="1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13390897.98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73°44′48″</w:t>
            </w:r>
          </w:p>
        </w:tc>
        <w:tc>
          <w:tcPr>
            <w:tcW w:w="1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39°21′28″</w:t>
            </w:r>
          </w:p>
        </w:tc>
        <w:tc>
          <w:tcPr>
            <w:tcW w:w="2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4358975.66</w:t>
            </w:r>
          </w:p>
        </w:tc>
        <w:tc>
          <w:tcPr>
            <w:tcW w:w="1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13391967.31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73°45′36″</w:t>
            </w:r>
          </w:p>
        </w:tc>
        <w:tc>
          <w:tcPr>
            <w:tcW w:w="1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39°20′40″</w:t>
            </w:r>
          </w:p>
        </w:tc>
        <w:tc>
          <w:tcPr>
            <w:tcW w:w="2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4357465.28 </w:t>
            </w:r>
          </w:p>
        </w:tc>
        <w:tc>
          <w:tcPr>
            <w:tcW w:w="1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13393104.66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73°44′03″  </w:t>
            </w:r>
          </w:p>
        </w:tc>
        <w:tc>
          <w:tcPr>
            <w:tcW w:w="1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39°20′47″</w:t>
            </w:r>
          </w:p>
        </w:tc>
        <w:tc>
          <w:tcPr>
            <w:tcW w:w="2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4357712.57</w:t>
            </w:r>
          </w:p>
        </w:tc>
        <w:tc>
          <w:tcPr>
            <w:tcW w:w="1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13390880.07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91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面积2.22km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vertAlign w:val="superscript"/>
              </w:rPr>
              <w:t>2</w:t>
            </w:r>
          </w:p>
        </w:tc>
      </w:tr>
    </w:tbl>
    <w:p>
      <w:pPr>
        <w:spacing w:line="360" w:lineRule="auto"/>
        <w:jc w:val="center"/>
        <w:rPr>
          <w:rFonts w:ascii="Times New Roman" w:hAnsi="Times New Roman" w:eastAsia="仿宋" w:cs="Times New Roman"/>
          <w:b/>
          <w:sz w:val="24"/>
          <w:szCs w:val="24"/>
        </w:rPr>
      </w:pPr>
      <w:r>
        <w:rPr>
          <w:rFonts w:ascii="Times New Roman" w:hAnsi="Times New Roman" w:eastAsia="仿宋" w:cs="Times New Roman"/>
          <w:b/>
          <w:sz w:val="24"/>
          <w:szCs w:val="24"/>
        </w:rPr>
        <w:t>表2  矿化带范围拐点坐标</w:t>
      </w:r>
    </w:p>
    <w:tbl>
      <w:tblPr>
        <w:tblStyle w:val="13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220"/>
        <w:gridCol w:w="913"/>
        <w:gridCol w:w="1701"/>
        <w:gridCol w:w="1620"/>
        <w:gridCol w:w="1489"/>
        <w:gridCol w:w="21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exact"/>
          <w:tblHeader/>
        </w:trPr>
        <w:tc>
          <w:tcPr>
            <w:tcW w:w="1220" w:type="dxa"/>
            <w:vMerge w:val="restart"/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矿化带</w:t>
            </w:r>
          </w:p>
          <w:p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编号</w:t>
            </w:r>
          </w:p>
        </w:tc>
        <w:tc>
          <w:tcPr>
            <w:tcW w:w="913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拐点</w:t>
            </w:r>
          </w:p>
          <w:p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编号</w:t>
            </w:r>
          </w:p>
        </w:tc>
        <w:tc>
          <w:tcPr>
            <w:tcW w:w="332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地理坐标（西安80）</w:t>
            </w:r>
          </w:p>
        </w:tc>
        <w:tc>
          <w:tcPr>
            <w:tcW w:w="360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6度带大地坐标（西安80）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exact"/>
          <w:tblHeader/>
        </w:trPr>
        <w:tc>
          <w:tcPr>
            <w:tcW w:w="1220" w:type="dxa"/>
            <w:vMerge w:val="continue"/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东经</w:t>
            </w:r>
          </w:p>
        </w:tc>
        <w:tc>
          <w:tcPr>
            <w:tcW w:w="1620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北纬</w:t>
            </w:r>
          </w:p>
        </w:tc>
        <w:tc>
          <w:tcPr>
            <w:tcW w:w="1489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X(m)</w:t>
            </w:r>
          </w:p>
        </w:tc>
        <w:tc>
          <w:tcPr>
            <w:tcW w:w="2117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Y(m)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exact"/>
          <w:tblHeader/>
        </w:trPr>
        <w:tc>
          <w:tcPr>
            <w:tcW w:w="122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（Mn2）</w:t>
            </w:r>
          </w:p>
        </w:tc>
        <w:tc>
          <w:tcPr>
            <w:tcW w:w="913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等线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  <w:lang w:bidi="ar"/>
              </w:rPr>
              <w:t>73°44′07″</w:t>
            </w:r>
          </w:p>
        </w:tc>
        <w:tc>
          <w:tcPr>
            <w:tcW w:w="162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等线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  <w:lang w:bidi="ar"/>
              </w:rPr>
              <w:t>39°20′49″</w:t>
            </w:r>
          </w:p>
        </w:tc>
        <w:tc>
          <w:tcPr>
            <w:tcW w:w="14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等线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  <w:lang w:bidi="ar"/>
              </w:rPr>
              <w:t>4357792.15</w:t>
            </w:r>
          </w:p>
        </w:tc>
        <w:tc>
          <w:tcPr>
            <w:tcW w:w="211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等线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  <w:lang w:bidi="ar"/>
              </w:rPr>
              <w:t>13390986.01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exact"/>
          <w:tblHeader/>
        </w:trPr>
        <w:tc>
          <w:tcPr>
            <w:tcW w:w="1220" w:type="dxa"/>
            <w:vMerge w:val="continue"/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等线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  <w:lang w:bidi="ar"/>
              </w:rPr>
              <w:t xml:space="preserve">73°45′31″  </w:t>
            </w:r>
          </w:p>
        </w:tc>
        <w:tc>
          <w:tcPr>
            <w:tcW w:w="162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等线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  <w:lang w:bidi="ar"/>
              </w:rPr>
              <w:t>39°20′44″</w:t>
            </w:r>
          </w:p>
        </w:tc>
        <w:tc>
          <w:tcPr>
            <w:tcW w:w="14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  <w:lang w:bidi="ar"/>
              </w:rPr>
              <w:t xml:space="preserve">4357611.71 </w:t>
            </w:r>
          </w:p>
        </w:tc>
        <w:tc>
          <w:tcPr>
            <w:tcW w:w="2117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  <w:lang w:bidi="ar"/>
              </w:rPr>
              <w:t xml:space="preserve">13392994.40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exact"/>
          <w:tblHeader/>
        </w:trPr>
        <w:tc>
          <w:tcPr>
            <w:tcW w:w="1220" w:type="dxa"/>
            <w:vMerge w:val="continue"/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等线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  <w:lang w:bidi="ar"/>
              </w:rPr>
              <w:t>73°45′36″</w:t>
            </w:r>
          </w:p>
        </w:tc>
        <w:tc>
          <w:tcPr>
            <w:tcW w:w="162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等线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  <w:lang w:bidi="ar"/>
              </w:rPr>
              <w:t>39°20′40″</w:t>
            </w:r>
          </w:p>
        </w:tc>
        <w:tc>
          <w:tcPr>
            <w:tcW w:w="14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  <w:lang w:bidi="ar"/>
              </w:rPr>
              <w:t xml:space="preserve">4357465.28 </w:t>
            </w:r>
          </w:p>
        </w:tc>
        <w:tc>
          <w:tcPr>
            <w:tcW w:w="2117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  <w:lang w:bidi="ar"/>
              </w:rPr>
              <w:t xml:space="preserve">13393104.66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exact"/>
          <w:tblHeader/>
        </w:trPr>
        <w:tc>
          <w:tcPr>
            <w:tcW w:w="122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等线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  <w:lang w:bidi="ar"/>
              </w:rPr>
              <w:t>73°44′07″</w:t>
            </w:r>
          </w:p>
        </w:tc>
        <w:tc>
          <w:tcPr>
            <w:tcW w:w="162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等线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  <w:lang w:bidi="ar"/>
              </w:rPr>
              <w:t>39°20′46″</w:t>
            </w:r>
          </w:p>
        </w:tc>
        <w:tc>
          <w:tcPr>
            <w:tcW w:w="148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  <w:lang w:bidi="ar"/>
              </w:rPr>
              <w:t xml:space="preserve">4357702.51 </w:t>
            </w:r>
          </w:p>
        </w:tc>
        <w:tc>
          <w:tcPr>
            <w:tcW w:w="211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  <w:lang w:bidi="ar"/>
              </w:rPr>
              <w:t xml:space="preserve">13390970.50 </w:t>
            </w:r>
          </w:p>
        </w:tc>
      </w:tr>
    </w:tbl>
    <w:p>
      <w:pPr>
        <w:pStyle w:val="2"/>
        <w:ind w:left="210" w:firstLine="482"/>
      </w:pPr>
    </w:p>
    <w:sectPr>
      <w:pgSz w:w="11906" w:h="16838"/>
      <w:pgMar w:top="1701" w:right="1417" w:bottom="1417" w:left="1417" w:header="851" w:footer="992" w:gutter="0"/>
      <w:pgNumType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54408454"/>
    </w:sdtPr>
    <w:sdtContent>
      <w:p>
        <w:pPr>
          <w:pStyle w:val="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141"/>
    <w:rsid w:val="00017FE5"/>
    <w:rsid w:val="00022F9A"/>
    <w:rsid w:val="00051630"/>
    <w:rsid w:val="000B76CF"/>
    <w:rsid w:val="000F728D"/>
    <w:rsid w:val="00105D7B"/>
    <w:rsid w:val="00163E31"/>
    <w:rsid w:val="00165BB0"/>
    <w:rsid w:val="001B594B"/>
    <w:rsid w:val="00235248"/>
    <w:rsid w:val="00237E8F"/>
    <w:rsid w:val="00281971"/>
    <w:rsid w:val="002849ED"/>
    <w:rsid w:val="002E01CE"/>
    <w:rsid w:val="00303D23"/>
    <w:rsid w:val="00307760"/>
    <w:rsid w:val="00364997"/>
    <w:rsid w:val="00393259"/>
    <w:rsid w:val="00393E8E"/>
    <w:rsid w:val="003C1D6B"/>
    <w:rsid w:val="003D0F1E"/>
    <w:rsid w:val="003D3557"/>
    <w:rsid w:val="003E7666"/>
    <w:rsid w:val="00417DB3"/>
    <w:rsid w:val="00432FAF"/>
    <w:rsid w:val="00492554"/>
    <w:rsid w:val="004D5F13"/>
    <w:rsid w:val="004F5DDE"/>
    <w:rsid w:val="00593434"/>
    <w:rsid w:val="00627ACE"/>
    <w:rsid w:val="006D05D4"/>
    <w:rsid w:val="007229C9"/>
    <w:rsid w:val="007609A6"/>
    <w:rsid w:val="00794D22"/>
    <w:rsid w:val="007C4CD2"/>
    <w:rsid w:val="007D3EC0"/>
    <w:rsid w:val="008029D3"/>
    <w:rsid w:val="00837B22"/>
    <w:rsid w:val="00852CCE"/>
    <w:rsid w:val="008631A7"/>
    <w:rsid w:val="00867398"/>
    <w:rsid w:val="0088082A"/>
    <w:rsid w:val="008C17F2"/>
    <w:rsid w:val="008E30E9"/>
    <w:rsid w:val="008F0926"/>
    <w:rsid w:val="00913845"/>
    <w:rsid w:val="00920C01"/>
    <w:rsid w:val="009378A3"/>
    <w:rsid w:val="009576F5"/>
    <w:rsid w:val="00973C28"/>
    <w:rsid w:val="009817DD"/>
    <w:rsid w:val="009941CF"/>
    <w:rsid w:val="009D5F2F"/>
    <w:rsid w:val="009F2023"/>
    <w:rsid w:val="00A231B0"/>
    <w:rsid w:val="00A23C58"/>
    <w:rsid w:val="00A37060"/>
    <w:rsid w:val="00A579F8"/>
    <w:rsid w:val="00A65AC1"/>
    <w:rsid w:val="00B06FBB"/>
    <w:rsid w:val="00B3019E"/>
    <w:rsid w:val="00B50141"/>
    <w:rsid w:val="00B50FFD"/>
    <w:rsid w:val="00B54E19"/>
    <w:rsid w:val="00B61991"/>
    <w:rsid w:val="00B8741E"/>
    <w:rsid w:val="00BC3D82"/>
    <w:rsid w:val="00BE7868"/>
    <w:rsid w:val="00C11C5A"/>
    <w:rsid w:val="00C17593"/>
    <w:rsid w:val="00C36BA5"/>
    <w:rsid w:val="00C451E6"/>
    <w:rsid w:val="00C824AB"/>
    <w:rsid w:val="00CB465F"/>
    <w:rsid w:val="00D4256E"/>
    <w:rsid w:val="00D5698B"/>
    <w:rsid w:val="00D62520"/>
    <w:rsid w:val="00DD7CB5"/>
    <w:rsid w:val="00E3525E"/>
    <w:rsid w:val="00E36A62"/>
    <w:rsid w:val="00E50E39"/>
    <w:rsid w:val="00EA0B63"/>
    <w:rsid w:val="00EA3DD2"/>
    <w:rsid w:val="00EC1F17"/>
    <w:rsid w:val="00EC51ED"/>
    <w:rsid w:val="00F10155"/>
    <w:rsid w:val="00F4291F"/>
    <w:rsid w:val="00FD4495"/>
    <w:rsid w:val="00FE29F4"/>
    <w:rsid w:val="09053750"/>
    <w:rsid w:val="0FB76C5D"/>
    <w:rsid w:val="162E2C6A"/>
    <w:rsid w:val="18395F15"/>
    <w:rsid w:val="18FA2C5D"/>
    <w:rsid w:val="1A0E01C5"/>
    <w:rsid w:val="23450F1B"/>
    <w:rsid w:val="24E136EE"/>
    <w:rsid w:val="28B551AF"/>
    <w:rsid w:val="2B404BE5"/>
    <w:rsid w:val="336D3E66"/>
    <w:rsid w:val="401F361F"/>
    <w:rsid w:val="48587032"/>
    <w:rsid w:val="48C67116"/>
    <w:rsid w:val="542D6641"/>
    <w:rsid w:val="557E26C4"/>
    <w:rsid w:val="5A797299"/>
    <w:rsid w:val="60EC46F8"/>
    <w:rsid w:val="618841D0"/>
    <w:rsid w:val="68013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9" w:semiHidden="0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link w:val="23"/>
    <w:unhideWhenUsed/>
    <w:qFormat/>
    <w:uiPriority w:val="99"/>
    <w:pPr>
      <w:keepNext/>
      <w:keepLines/>
      <w:spacing w:before="120" w:after="120"/>
      <w:ind w:left="100" w:leftChars="100"/>
      <w:jc w:val="left"/>
      <w:outlineLvl w:val="1"/>
    </w:pPr>
    <w:rPr>
      <w:rFonts w:ascii="Times New Roman" w:hAnsi="Times New Roman" w:eastAsia="仿宋" w:cstheme="majorBidi"/>
      <w:b/>
      <w:bCs/>
      <w:sz w:val="28"/>
      <w:szCs w:val="32"/>
    </w:rPr>
  </w:style>
  <w:style w:type="paragraph" w:styleId="2">
    <w:name w:val="heading 3"/>
    <w:basedOn w:val="1"/>
    <w:next w:val="1"/>
    <w:link w:val="24"/>
    <w:qFormat/>
    <w:uiPriority w:val="99"/>
    <w:pPr>
      <w:keepNext/>
      <w:keepLines/>
      <w:snapToGrid w:val="0"/>
      <w:spacing w:before="120" w:after="120"/>
      <w:ind w:left="100" w:leftChars="100" w:firstLine="880" w:firstLineChars="200"/>
      <w:jc w:val="left"/>
      <w:outlineLvl w:val="2"/>
    </w:pPr>
    <w:rPr>
      <w:rFonts w:ascii="Times New Roman" w:hAnsi="Times New Roman" w:eastAsia="楷体" w:cs="Times New Roman"/>
      <w:b/>
      <w:bCs/>
      <w:sz w:val="24"/>
      <w:szCs w:val="24"/>
    </w:rPr>
  </w:style>
  <w:style w:type="character" w:default="1" w:styleId="14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5"/>
    <w:unhideWhenUsed/>
    <w:qFormat/>
    <w:uiPriority w:val="99"/>
    <w:pPr>
      <w:spacing w:before="120" w:after="120"/>
      <w:ind w:left="100" w:leftChars="100"/>
      <w:jc w:val="left"/>
    </w:pPr>
    <w:rPr>
      <w:rFonts w:ascii="Times New Roman" w:hAnsi="Times New Roman" w:eastAsia="仿宋" w:cs="Times New Roman"/>
      <w:sz w:val="24"/>
      <w:szCs w:val="24"/>
    </w:rPr>
  </w:style>
  <w:style w:type="paragraph" w:styleId="5">
    <w:name w:val="Body Text 3"/>
    <w:basedOn w:val="1"/>
    <w:link w:val="21"/>
    <w:semiHidden/>
    <w:unhideWhenUsed/>
    <w:qFormat/>
    <w:uiPriority w:val="99"/>
    <w:pPr>
      <w:spacing w:after="120"/>
    </w:pPr>
    <w:rPr>
      <w:sz w:val="16"/>
      <w:szCs w:val="16"/>
    </w:rPr>
  </w:style>
  <w:style w:type="paragraph" w:styleId="6">
    <w:name w:val="Body Text Indent"/>
    <w:basedOn w:val="1"/>
    <w:link w:val="22"/>
    <w:semiHidden/>
    <w:unhideWhenUsed/>
    <w:qFormat/>
    <w:uiPriority w:val="99"/>
    <w:pPr>
      <w:spacing w:after="120"/>
      <w:ind w:left="420" w:leftChars="200"/>
    </w:pPr>
  </w:style>
  <w:style w:type="paragraph" w:styleId="7">
    <w:name w:val="Balloon Text"/>
    <w:basedOn w:val="1"/>
    <w:link w:val="26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unhideWhenUsed/>
    <w:qFormat/>
    <w:uiPriority w:val="39"/>
    <w:pPr>
      <w:tabs>
        <w:tab w:val="right" w:leader="dot" w:pos="9060"/>
      </w:tabs>
    </w:pPr>
    <w:rPr>
      <w:rFonts w:ascii="Times New Roman" w:hAnsi="Times New Roman" w:eastAsia="仿宋" w:cs="Times New Roman"/>
      <w:b/>
      <w:bCs/>
      <w:sz w:val="24"/>
      <w:szCs w:val="24"/>
    </w:rPr>
  </w:style>
  <w:style w:type="paragraph" w:styleId="11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2">
    <w:name w:val="annotation subject"/>
    <w:basedOn w:val="4"/>
    <w:next w:val="4"/>
    <w:link w:val="28"/>
    <w:semiHidden/>
    <w:unhideWhenUsed/>
    <w:qFormat/>
    <w:uiPriority w:val="99"/>
    <w:pPr>
      <w:spacing w:before="0" w:after="0"/>
      <w:ind w:left="0" w:leftChars="0"/>
    </w:pPr>
    <w:rPr>
      <w:rFonts w:asciiTheme="minorHAnsi" w:hAnsiTheme="minorHAnsi" w:eastAsiaTheme="minorEastAsia" w:cstheme="minorBidi"/>
      <w:b/>
      <w:bCs/>
      <w:sz w:val="21"/>
      <w:szCs w:val="22"/>
    </w:rPr>
  </w:style>
  <w:style w:type="character" w:styleId="15">
    <w:name w:val="FollowedHyperlink"/>
    <w:basedOn w:val="14"/>
    <w:semiHidden/>
    <w:unhideWhenUsed/>
    <w:uiPriority w:val="99"/>
    <w:rPr>
      <w:rFonts w:hint="eastAsia" w:ascii="微软雅黑" w:hAnsi="微软雅黑" w:eastAsia="微软雅黑" w:cs="微软雅黑"/>
      <w:color w:val="666666"/>
      <w:sz w:val="18"/>
      <w:szCs w:val="18"/>
      <w:u w:val="none"/>
    </w:rPr>
  </w:style>
  <w:style w:type="character" w:styleId="16">
    <w:name w:val="Hyperlink"/>
    <w:basedOn w:val="1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7">
    <w:name w:val="annotation reference"/>
    <w:basedOn w:val="14"/>
    <w:qFormat/>
    <w:uiPriority w:val="99"/>
    <w:rPr>
      <w:rFonts w:cs="Times New Roman"/>
      <w:sz w:val="21"/>
    </w:rPr>
  </w:style>
  <w:style w:type="character" w:customStyle="1" w:styleId="18">
    <w:name w:val="页眉 字符"/>
    <w:basedOn w:val="14"/>
    <w:link w:val="9"/>
    <w:qFormat/>
    <w:uiPriority w:val="99"/>
    <w:rPr>
      <w:sz w:val="18"/>
      <w:szCs w:val="18"/>
    </w:rPr>
  </w:style>
  <w:style w:type="character" w:customStyle="1" w:styleId="19">
    <w:name w:val="页脚 字符"/>
    <w:basedOn w:val="14"/>
    <w:link w:val="8"/>
    <w:qFormat/>
    <w:uiPriority w:val="99"/>
    <w:rPr>
      <w:sz w:val="18"/>
      <w:szCs w:val="18"/>
    </w:rPr>
  </w:style>
  <w:style w:type="paragraph" w:customStyle="1" w:styleId="20">
    <w:name w:val="表中文字"/>
    <w:basedOn w:val="5"/>
    <w:qFormat/>
    <w:uiPriority w:val="99"/>
    <w:pPr>
      <w:snapToGrid w:val="0"/>
      <w:spacing w:before="120" w:after="0"/>
      <w:jc w:val="center"/>
    </w:pPr>
    <w:rPr>
      <w:sz w:val="21"/>
      <w:szCs w:val="20"/>
    </w:rPr>
  </w:style>
  <w:style w:type="character" w:customStyle="1" w:styleId="21">
    <w:name w:val="正文文本 3 字符"/>
    <w:basedOn w:val="14"/>
    <w:link w:val="5"/>
    <w:semiHidden/>
    <w:qFormat/>
    <w:uiPriority w:val="99"/>
    <w:rPr>
      <w:sz w:val="16"/>
      <w:szCs w:val="16"/>
    </w:rPr>
  </w:style>
  <w:style w:type="character" w:customStyle="1" w:styleId="22">
    <w:name w:val="正文文本缩进 字符"/>
    <w:basedOn w:val="14"/>
    <w:link w:val="6"/>
    <w:semiHidden/>
    <w:qFormat/>
    <w:uiPriority w:val="99"/>
  </w:style>
  <w:style w:type="character" w:customStyle="1" w:styleId="23">
    <w:name w:val="标题 2 字符"/>
    <w:basedOn w:val="14"/>
    <w:link w:val="3"/>
    <w:qFormat/>
    <w:uiPriority w:val="99"/>
    <w:rPr>
      <w:rFonts w:ascii="Times New Roman" w:hAnsi="Times New Roman" w:eastAsia="仿宋" w:cstheme="majorBidi"/>
      <w:b/>
      <w:bCs/>
      <w:sz w:val="28"/>
      <w:szCs w:val="32"/>
    </w:rPr>
  </w:style>
  <w:style w:type="character" w:customStyle="1" w:styleId="24">
    <w:name w:val="标题 3 字符"/>
    <w:basedOn w:val="14"/>
    <w:link w:val="2"/>
    <w:qFormat/>
    <w:uiPriority w:val="99"/>
    <w:rPr>
      <w:rFonts w:ascii="Times New Roman" w:hAnsi="Times New Roman" w:eastAsia="楷体" w:cs="Times New Roman"/>
      <w:b/>
      <w:bCs/>
      <w:sz w:val="24"/>
      <w:szCs w:val="24"/>
    </w:rPr>
  </w:style>
  <w:style w:type="character" w:customStyle="1" w:styleId="25">
    <w:name w:val="批注文字 字符"/>
    <w:basedOn w:val="14"/>
    <w:link w:val="4"/>
    <w:qFormat/>
    <w:uiPriority w:val="99"/>
    <w:rPr>
      <w:rFonts w:ascii="Times New Roman" w:hAnsi="Times New Roman" w:eastAsia="仿宋" w:cs="Times New Roman"/>
      <w:sz w:val="24"/>
      <w:szCs w:val="24"/>
    </w:rPr>
  </w:style>
  <w:style w:type="character" w:customStyle="1" w:styleId="26">
    <w:name w:val="批注框文本 字符"/>
    <w:basedOn w:val="14"/>
    <w:link w:val="7"/>
    <w:semiHidden/>
    <w:qFormat/>
    <w:uiPriority w:val="99"/>
    <w:rPr>
      <w:sz w:val="18"/>
      <w:szCs w:val="18"/>
    </w:rPr>
  </w:style>
  <w:style w:type="paragraph" w:styleId="27">
    <w:name w:val="List Paragraph"/>
    <w:basedOn w:val="1"/>
    <w:qFormat/>
    <w:uiPriority w:val="34"/>
    <w:pPr>
      <w:ind w:firstLine="420" w:firstLineChars="200"/>
    </w:pPr>
  </w:style>
  <w:style w:type="character" w:customStyle="1" w:styleId="28">
    <w:name w:val="批注主题 字符"/>
    <w:basedOn w:val="25"/>
    <w:link w:val="12"/>
    <w:semiHidden/>
    <w:qFormat/>
    <w:uiPriority w:val="99"/>
    <w:rPr>
      <w:rFonts w:ascii="Times New Roman" w:hAnsi="Times New Roman" w:eastAsia="仿宋" w:cs="Times New Roman"/>
      <w:b/>
      <w:bCs/>
      <w:sz w:val="24"/>
      <w:szCs w:val="24"/>
    </w:rPr>
  </w:style>
  <w:style w:type="character" w:customStyle="1" w:styleId="29">
    <w:name w:val="font71"/>
    <w:qFormat/>
    <w:uiPriority w:val="0"/>
    <w:rPr>
      <w:rFonts w:hint="default" w:ascii="Times New Roman" w:hAnsi="Times New Roman" w:cs="Times New Roman"/>
      <w:color w:val="000000"/>
      <w:kern w:val="0"/>
      <w:sz w:val="24"/>
      <w:szCs w:val="24"/>
      <w:u w:val="none"/>
      <w:lang w:eastAsia="en-US"/>
    </w:rPr>
  </w:style>
  <w:style w:type="paragraph" w:customStyle="1" w:styleId="30">
    <w:name w:val="Char"/>
    <w:basedOn w:val="1"/>
    <w:qFormat/>
    <w:uiPriority w:val="0"/>
    <w:pPr>
      <w:ind w:firstLine="590" w:firstLineChars="196"/>
    </w:pPr>
    <w:rPr>
      <w:rFonts w:ascii="仿宋_GB2312" w:hAnsi="Times New Roman" w:eastAsia="仿宋_GB2312" w:cs="Times New Roman"/>
      <w:b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239</Words>
  <Characters>1364</Characters>
  <Lines>11</Lines>
  <Paragraphs>3</Paragraphs>
  <TotalTime>3</TotalTime>
  <ScaleCrop>false</ScaleCrop>
  <LinksUpToDate>false</LinksUpToDate>
  <CharactersWithSpaces>1600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2019-06-12T03:42:00Z</dcterms:created>
  <dc:creator>981596749@qq.com</dc:creator>
  <cp:lastModifiedBy>尚海军</cp:lastModifiedBy>
  <dcterms:modified xsi:type="dcterms:W3CDTF">2021-04-19T07:52:34Z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