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28"/>
          <w:szCs w:val="28"/>
        </w:rPr>
      </w:pPr>
      <w:bookmarkStart w:id="0" w:name="_Toc382240302"/>
      <w:bookmarkStart w:id="1" w:name="_Toc515599140"/>
      <w:r>
        <w:rPr>
          <w:rFonts w:hint="eastAsia" w:ascii="仿宋" w:hAnsi="仿宋" w:eastAsia="仿宋"/>
          <w:b/>
          <w:sz w:val="28"/>
          <w:szCs w:val="28"/>
        </w:rPr>
        <w:t>新疆巴楚县三岔口A区砂岩型铜矿</w:t>
      </w:r>
      <w:r>
        <w:rPr>
          <w:rFonts w:hint="eastAsia" w:ascii="仿宋" w:hAnsi="仿宋" w:eastAsia="仿宋"/>
          <w:b/>
          <w:sz w:val="28"/>
          <w:szCs w:val="28"/>
          <w:lang w:eastAsia="zh-CN"/>
        </w:rPr>
        <w:t>普</w:t>
      </w:r>
      <w:r>
        <w:rPr>
          <w:rFonts w:hint="eastAsia" w:ascii="仿宋" w:hAnsi="仿宋" w:eastAsia="仿宋"/>
          <w:b/>
          <w:sz w:val="28"/>
          <w:szCs w:val="28"/>
        </w:rPr>
        <w:t>查地质概况</w:t>
      </w:r>
    </w:p>
    <w:p>
      <w:pPr>
        <w:numPr>
          <w:ilvl w:val="0"/>
          <w:numId w:val="1"/>
        </w:numPr>
        <w:rPr>
          <w:rFonts w:hint="eastAsia" w:ascii="仿宋" w:hAnsi="仿宋" w:eastAsia="仿宋"/>
          <w:b/>
          <w:sz w:val="28"/>
          <w:szCs w:val="28"/>
        </w:rPr>
      </w:pPr>
      <w:r>
        <w:rPr>
          <w:rFonts w:hint="eastAsia" w:ascii="仿宋" w:hAnsi="仿宋" w:eastAsia="仿宋"/>
          <w:b/>
          <w:sz w:val="28"/>
          <w:szCs w:val="28"/>
        </w:rPr>
        <w:t>基本情况</w:t>
      </w:r>
    </w:p>
    <w:p>
      <w:pPr>
        <w:spacing w:line="500" w:lineRule="exact"/>
        <w:ind w:firstLine="480" w:firstLineChars="200"/>
        <w:rPr>
          <w:rFonts w:ascii="宋体" w:hAnsi="宋体"/>
          <w:sz w:val="24"/>
        </w:rPr>
      </w:pPr>
      <w:r>
        <w:rPr>
          <w:rFonts w:hint="eastAsia" w:ascii="宋体" w:hAnsi="宋体"/>
          <w:sz w:val="24"/>
        </w:rPr>
        <w:t>（一）</w:t>
      </w:r>
      <w:r>
        <w:rPr>
          <w:rFonts w:ascii="宋体" w:hAnsi="宋体"/>
          <w:sz w:val="24"/>
        </w:rPr>
        <w:t>位置交通</w:t>
      </w:r>
    </w:p>
    <w:p>
      <w:pPr>
        <w:spacing w:line="500" w:lineRule="exact"/>
        <w:ind w:firstLine="480" w:firstLineChars="200"/>
        <w:rPr>
          <w:rFonts w:ascii="宋体" w:hAnsi="宋体"/>
          <w:sz w:val="24"/>
        </w:rPr>
      </w:pPr>
      <w:r>
        <w:rPr>
          <w:rFonts w:hint="eastAsia" w:ascii="宋体" w:hAnsi="宋体"/>
          <w:sz w:val="24"/>
        </w:rPr>
        <w:t>工区位于新疆巴楚县城西110千米，距伽师县城约45千米。地理坐标：东经77°19′26″-77°19′29″、北纬39°57′53″-39°59′22″。工作区总面积约9平方千米。行政区划隶属巴楚县管辖（图1-1）。工作区外部交通较方便，314国道从工区南部穿过。北部及南部有县乡公路通过，喀什喀尔套山及柯坪山南北两侧的第四系及较大沟谷中大多数勉强可通行汽车。但工区内中部中山区海拔较高，地形切割深，山高坡陡，通行困难，仅有个别大型沟谷可以穿越汽车。</w:t>
      </w:r>
    </w:p>
    <w:p>
      <w:pPr>
        <w:ind w:left="480"/>
        <w:rPr>
          <w:rFonts w:ascii="宋体" w:hAnsi="宋体"/>
          <w:sz w:val="24"/>
        </w:rPr>
      </w:pPr>
      <w:r>
        <w:rPr>
          <w:rFonts w:ascii="宋体" w:hAnsi="宋体"/>
          <w:sz w:val="24"/>
        </w:rPr>
        <w:drawing>
          <wp:anchor distT="0" distB="0" distL="114300" distR="114300" simplePos="0" relativeHeight="251741184" behindDoc="1" locked="0" layoutInCell="1" allowOverlap="1">
            <wp:simplePos x="0" y="0"/>
            <wp:positionH relativeFrom="column">
              <wp:posOffset>0</wp:posOffset>
            </wp:positionH>
            <wp:positionV relativeFrom="paragraph">
              <wp:posOffset>99060</wp:posOffset>
            </wp:positionV>
            <wp:extent cx="5257800" cy="4853940"/>
            <wp:effectExtent l="0" t="0" r="0" b="3810"/>
            <wp:wrapTopAndBottom/>
            <wp:docPr id="20" name="图片 13" descr="图1-1 交通位置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descr="图1-1 交通位置图"/>
                    <pic:cNvPicPr>
                      <a:picLocks noChangeAspect="1"/>
                    </pic:cNvPicPr>
                  </pic:nvPicPr>
                  <pic:blipFill>
                    <a:blip r:embed="rId4"/>
                    <a:srcRect l="2426" t="1714" r="2660" b="2339"/>
                    <a:stretch>
                      <a:fillRect/>
                    </a:stretch>
                  </pic:blipFill>
                  <pic:spPr>
                    <a:xfrm>
                      <a:off x="0" y="0"/>
                      <a:ext cx="5257800" cy="4853940"/>
                    </a:xfrm>
                    <a:prstGeom prst="rect">
                      <a:avLst/>
                    </a:prstGeom>
                    <a:noFill/>
                    <a:ln w="9525">
                      <a:noFill/>
                    </a:ln>
                  </pic:spPr>
                </pic:pic>
              </a:graphicData>
            </a:graphic>
          </wp:anchor>
        </w:drawing>
      </w:r>
      <w:r>
        <w:rPr>
          <w:rFonts w:hint="eastAsia" w:ascii="宋体" w:hAnsi="宋体"/>
          <w:sz w:val="24"/>
        </w:rPr>
        <w:t>（二）</w:t>
      </w:r>
      <w:r>
        <w:rPr>
          <w:rFonts w:ascii="宋体" w:hAnsi="宋体"/>
          <w:sz w:val="24"/>
        </w:rPr>
        <w:t>自然地理、经济状况</w:t>
      </w:r>
    </w:p>
    <w:p>
      <w:pPr>
        <w:spacing w:line="500" w:lineRule="exact"/>
        <w:ind w:firstLine="480" w:firstLineChars="200"/>
        <w:rPr>
          <w:rFonts w:ascii="宋体" w:hAnsi="宋体"/>
          <w:sz w:val="24"/>
        </w:rPr>
      </w:pPr>
      <w:r>
        <w:rPr>
          <w:rFonts w:hint="eastAsia" w:ascii="宋体" w:hAnsi="宋体"/>
          <w:sz w:val="24"/>
        </w:rPr>
        <w:t>工作区位于塔里木盆地西北缘，喀什喀尔套山及柯坪山呈近东西向横亘全区。海拔高程一般在1400-2200米，地貌总体表现为西高东低,中部高、南北两侧低，区内山势陡峻，部分地区形成阶梯状断崖及陡峭山峰,绝大多数地段高差为500-700米，属深切割的中山区。</w:t>
      </w:r>
    </w:p>
    <w:p>
      <w:pPr>
        <w:spacing w:line="500" w:lineRule="exact"/>
        <w:ind w:firstLine="480" w:firstLineChars="200"/>
        <w:rPr>
          <w:rFonts w:ascii="宋体" w:hAnsi="宋体"/>
          <w:sz w:val="24"/>
        </w:rPr>
      </w:pPr>
      <w:r>
        <w:rPr>
          <w:rFonts w:hint="eastAsia" w:ascii="宋体" w:hAnsi="宋体"/>
          <w:sz w:val="24"/>
        </w:rPr>
        <w:t>工作区属干旱大陆性气候，干燥少雨，昼夜温差大，日照充足，年平均气温11.7℃。年平均降水量96.7毫米，年均蒸发量2633.3毫米，年均无霜期223天。每年4-11月为最佳野外工作时间。区内水系不发育，除少数咸水泉外无常年地表径流。区内山区植被不发育，多为裸露基岩。</w:t>
      </w:r>
    </w:p>
    <w:p>
      <w:pPr>
        <w:spacing w:line="500" w:lineRule="exact"/>
        <w:ind w:firstLine="480" w:firstLineChars="200"/>
        <w:rPr>
          <w:rFonts w:ascii="宋体" w:hAnsi="宋体"/>
          <w:sz w:val="28"/>
          <w:szCs w:val="28"/>
        </w:rPr>
      </w:pPr>
      <w:r>
        <w:rPr>
          <w:rFonts w:hint="eastAsia" w:ascii="宋体" w:hAnsi="宋体"/>
          <w:sz w:val="24"/>
        </w:rPr>
        <w:t>经济以农牧业为主，夏季有农牧民临时居住点。民族有维吾尔、汉、柯尔克孜等。</w:t>
      </w:r>
    </w:p>
    <w:p>
      <w:pPr>
        <w:spacing w:line="500" w:lineRule="exact"/>
        <w:ind w:firstLine="480" w:firstLineChars="200"/>
        <w:rPr>
          <w:rFonts w:ascii="宋体" w:hAnsi="宋体"/>
          <w:sz w:val="24"/>
        </w:rPr>
      </w:pPr>
      <w:r>
        <w:rPr>
          <w:rFonts w:ascii="宋体" w:hAnsi="宋体"/>
          <w:sz w:val="24"/>
        </w:rPr>
        <w:t>3.</w:t>
      </w:r>
      <w:r>
        <w:rPr>
          <w:rFonts w:hint="eastAsia" w:ascii="宋体" w:hAnsi="宋体"/>
          <w:sz w:val="24"/>
        </w:rPr>
        <w:t>探矿权内完成的主要工作量及投入资金</w:t>
      </w:r>
      <w:bookmarkStart w:id="2" w:name="_Toc382240255"/>
    </w:p>
    <w:p>
      <w:pPr>
        <w:spacing w:line="500" w:lineRule="exact"/>
        <w:ind w:left="959" w:leftChars="228" w:hanging="480" w:hangingChars="200"/>
        <w:rPr>
          <w:rFonts w:hint="eastAsia" w:ascii="宋体" w:hAnsi="宋体"/>
          <w:sz w:val="24"/>
        </w:rPr>
      </w:pPr>
      <w:r>
        <w:rPr>
          <w:rFonts w:hint="eastAsia" w:ascii="宋体" w:hAnsi="宋体"/>
          <w:sz w:val="24"/>
        </w:rPr>
        <w:t>A工作区原探矿证编号T65120120802046486，（</w:t>
      </w:r>
      <w:r>
        <w:rPr>
          <w:rFonts w:hint="eastAsia" w:ascii="宋体" w:hAnsi="宋体"/>
          <w:sz w:val="24"/>
          <w:lang w:val="en-US" w:eastAsia="zh-CN"/>
        </w:rPr>
        <w:t>200</w:t>
      </w:r>
      <w:r>
        <w:rPr>
          <w:rFonts w:hint="eastAsia" w:ascii="宋体" w:hAnsi="宋体"/>
          <w:sz w:val="24"/>
        </w:rPr>
        <w:t>0坐标）：</w:t>
      </w:r>
    </w:p>
    <w:p>
      <w:pPr>
        <w:spacing w:line="500" w:lineRule="exact"/>
        <w:ind w:left="959" w:leftChars="228" w:hanging="480" w:hangingChars="200"/>
        <w:rPr>
          <w:rFonts w:hint="eastAsia" w:ascii="宋体" w:hAnsi="宋体"/>
          <w:sz w:val="24"/>
        </w:rPr>
      </w:pPr>
      <w:r>
        <w:rPr>
          <w:rFonts w:hint="eastAsia" w:ascii="宋体" w:hAnsi="宋体"/>
          <w:sz w:val="24"/>
        </w:rPr>
        <w:t>77.214900</w:t>
      </w:r>
      <w:bookmarkStart w:id="8" w:name="_GoBack"/>
      <w:bookmarkEnd w:id="8"/>
      <w:r>
        <w:rPr>
          <w:rFonts w:hint="eastAsia" w:ascii="宋体" w:hAnsi="宋体"/>
          <w:sz w:val="24"/>
        </w:rPr>
        <w:t>0,39.5921000</w:t>
      </w:r>
      <w:r>
        <w:rPr>
          <w:rFonts w:hint="eastAsia" w:ascii="宋体" w:hAnsi="宋体"/>
          <w:sz w:val="24"/>
          <w:lang w:val="en-US" w:eastAsia="zh-CN"/>
        </w:rPr>
        <w:t>;</w:t>
      </w:r>
      <w:r>
        <w:rPr>
          <w:rFonts w:hint="eastAsia" w:ascii="宋体" w:hAnsi="宋体"/>
          <w:sz w:val="24"/>
        </w:rPr>
        <w:t>77.2146000,39.5752000</w:t>
      </w:r>
      <w:r>
        <w:rPr>
          <w:rFonts w:hint="eastAsia" w:ascii="宋体" w:hAnsi="宋体"/>
          <w:sz w:val="24"/>
          <w:lang w:val="en-US" w:eastAsia="zh-CN"/>
        </w:rPr>
        <w:t>;</w:t>
      </w:r>
      <w:r>
        <w:rPr>
          <w:rFonts w:hint="eastAsia" w:ascii="宋体" w:hAnsi="宋体"/>
          <w:sz w:val="24"/>
        </w:rPr>
        <w:t>77.1929000,39.5755000</w:t>
      </w:r>
    </w:p>
    <w:p>
      <w:pPr>
        <w:spacing w:line="500" w:lineRule="exact"/>
        <w:ind w:left="959" w:leftChars="228" w:hanging="480" w:hangingChars="200"/>
        <w:rPr>
          <w:rFonts w:ascii="宋体" w:hAnsi="宋体"/>
          <w:sz w:val="24"/>
        </w:rPr>
      </w:pPr>
      <w:r>
        <w:rPr>
          <w:rFonts w:hint="eastAsia" w:ascii="宋体" w:hAnsi="宋体"/>
          <w:sz w:val="24"/>
        </w:rPr>
        <w:t>77.1932000,39.5924000</w:t>
      </w:r>
      <w:r>
        <w:rPr>
          <w:rFonts w:hint="eastAsia" w:ascii="宋体" w:hAnsi="宋体"/>
          <w:sz w:val="24"/>
          <w:lang w:val="en-US" w:eastAsia="zh-CN"/>
        </w:rPr>
        <w:t>;</w:t>
      </w:r>
      <w:r>
        <w:rPr>
          <w:rFonts w:hint="eastAsia" w:ascii="宋体" w:hAnsi="宋体"/>
          <w:sz w:val="24"/>
        </w:rPr>
        <w:t>77.2149000,39.5921000</w:t>
      </w:r>
      <w:r>
        <w:rPr>
          <w:rFonts w:hint="eastAsia" w:ascii="宋体" w:hAnsi="宋体"/>
          <w:sz w:val="24"/>
          <w:lang w:val="en-US" w:eastAsia="zh-CN"/>
        </w:rPr>
        <w:t>.</w:t>
      </w:r>
      <w:r>
        <w:rPr>
          <w:rFonts w:hint="eastAsia" w:ascii="宋体" w:hAnsi="宋体"/>
          <w:sz w:val="24"/>
        </w:rPr>
        <w:t>面积8.92平方公里。</w:t>
      </w:r>
    </w:p>
    <w:p>
      <w:pPr>
        <w:spacing w:line="500" w:lineRule="exact"/>
        <w:ind w:firstLine="480" w:firstLineChars="200"/>
        <w:rPr>
          <w:rFonts w:ascii="宋体" w:hAnsi="宋体"/>
          <w:sz w:val="24"/>
        </w:rPr>
      </w:pPr>
      <w:r>
        <w:rPr>
          <w:rFonts w:hint="eastAsia" w:ascii="宋体" w:hAnsi="宋体"/>
          <w:sz w:val="24"/>
        </w:rPr>
        <w:t>主要投入实物工作量</w:t>
      </w:r>
      <w:bookmarkEnd w:id="2"/>
      <w:r>
        <w:rPr>
          <w:rFonts w:hint="eastAsia" w:ascii="宋体" w:hAnsi="宋体"/>
          <w:sz w:val="24"/>
        </w:rPr>
        <w:t>:地质路线踏勘及异常检查10千米,投入资金16万元.</w:t>
      </w:r>
    </w:p>
    <w:p>
      <w:pPr>
        <w:rPr>
          <w:rFonts w:ascii="仿宋" w:hAnsi="仿宋" w:eastAsia="仿宋"/>
          <w:b/>
          <w:sz w:val="28"/>
          <w:szCs w:val="28"/>
        </w:rPr>
      </w:pPr>
      <w:r>
        <w:rPr>
          <w:rFonts w:hint="eastAsia" w:ascii="仿宋" w:hAnsi="仿宋" w:eastAsia="仿宋"/>
          <w:b/>
          <w:sz w:val="28"/>
          <w:szCs w:val="28"/>
        </w:rPr>
        <w:t>二、地质特征</w:t>
      </w:r>
    </w:p>
    <w:p>
      <w:pPr>
        <w:ind w:firstLine="480" w:firstLineChars="200"/>
        <w:rPr>
          <w:rFonts w:ascii="宋体" w:hAnsi="宋体"/>
          <w:sz w:val="24"/>
        </w:rPr>
      </w:pPr>
      <w:r>
        <w:rPr>
          <w:rFonts w:hint="eastAsia" w:ascii="宋体" w:hAnsi="宋体"/>
          <w:sz w:val="24"/>
        </w:rPr>
        <w:t>（一）工</w:t>
      </w:r>
      <w:r>
        <w:rPr>
          <w:rFonts w:ascii="宋体" w:hAnsi="宋体"/>
          <w:sz w:val="24"/>
        </w:rPr>
        <w:t>区地质特征</w:t>
      </w:r>
    </w:p>
    <w:p>
      <w:pPr>
        <w:spacing w:line="500" w:lineRule="exact"/>
        <w:ind w:firstLine="480" w:firstLineChars="200"/>
        <w:rPr>
          <w:rFonts w:ascii="宋体" w:hAnsi="宋体"/>
          <w:sz w:val="24"/>
        </w:rPr>
      </w:pPr>
      <w:bookmarkStart w:id="3" w:name="_Toc203540354"/>
      <w:bookmarkStart w:id="4" w:name="_Toc164593655"/>
      <w:bookmarkStart w:id="5" w:name="_Toc166469365"/>
      <w:bookmarkStart w:id="6" w:name="_Toc164593710"/>
      <w:bookmarkStart w:id="7" w:name="_Toc176748042"/>
      <w:r>
        <w:rPr>
          <w:rFonts w:hint="eastAsia" w:ascii="宋体" w:hAnsi="宋体"/>
          <w:sz w:val="24"/>
        </w:rPr>
        <w:t>预查区出露地层上石炭统康克林组（C</w:t>
      </w:r>
      <w:r>
        <w:rPr>
          <w:rFonts w:hint="eastAsia" w:ascii="宋体" w:hAnsi="宋体"/>
          <w:sz w:val="24"/>
          <w:vertAlign w:val="subscript"/>
        </w:rPr>
        <w:t>2</w:t>
      </w:r>
      <w:r>
        <w:rPr>
          <w:rFonts w:hint="eastAsia" w:ascii="宋体" w:hAnsi="宋体"/>
          <w:sz w:val="24"/>
        </w:rPr>
        <w:t>kk），二叠系巴立克立克组（P</w:t>
      </w:r>
      <w:r>
        <w:rPr>
          <w:rFonts w:hint="eastAsia" w:ascii="宋体" w:hAnsi="宋体"/>
          <w:sz w:val="24"/>
          <w:vertAlign w:val="subscript"/>
        </w:rPr>
        <w:t>1</w:t>
      </w:r>
      <w:r>
        <w:rPr>
          <w:rFonts w:hint="eastAsia" w:ascii="宋体" w:hAnsi="宋体"/>
          <w:sz w:val="24"/>
        </w:rPr>
        <w:t>b），上白垩统恰克马克其组（K</w:t>
      </w:r>
      <w:r>
        <w:rPr>
          <w:rFonts w:hint="eastAsia" w:ascii="宋体" w:hAnsi="宋体"/>
          <w:sz w:val="24"/>
          <w:vertAlign w:val="subscript"/>
        </w:rPr>
        <w:t>2</w:t>
      </w:r>
      <w:r>
        <w:rPr>
          <w:rFonts w:hint="eastAsia" w:ascii="宋体" w:hAnsi="宋体"/>
          <w:sz w:val="24"/>
        </w:rPr>
        <w:t>q），新近系康村组（N</w:t>
      </w:r>
      <w:r>
        <w:rPr>
          <w:rFonts w:hint="eastAsia" w:ascii="宋体" w:hAnsi="宋体"/>
          <w:sz w:val="24"/>
          <w:vertAlign w:val="subscript"/>
        </w:rPr>
        <w:t>1-2</w:t>
      </w:r>
      <w:r>
        <w:rPr>
          <w:rFonts w:hint="eastAsia" w:ascii="宋体" w:hAnsi="宋体"/>
          <w:sz w:val="24"/>
        </w:rPr>
        <w:t>k）、全新统。</w:t>
      </w:r>
    </w:p>
    <w:p>
      <w:pPr>
        <w:spacing w:line="500" w:lineRule="exact"/>
        <w:ind w:firstLine="480" w:firstLineChars="200"/>
        <w:rPr>
          <w:rFonts w:ascii="宋体" w:hAnsi="宋体"/>
          <w:sz w:val="24"/>
        </w:rPr>
      </w:pPr>
      <w:r>
        <w:rPr>
          <w:rFonts w:hint="eastAsia" w:ascii="宋体" w:hAnsi="宋体"/>
          <w:sz w:val="24"/>
        </w:rPr>
        <w:t>上石炭统康克林组岩性组合为灰岩夹少量碎屑岩，为一套海相碳酸盐岩沉积建造。下二叠统巴立克立克组岩性组合为灰岩及少量碎屑岩组合，下部为粉砂质泥岩夹泥质粉砂岩、粉砂岩，中上部为灰岩，生物碎屑灰岩及碳质页岩，为一套深海相-滨浅海相碳酸盐岩-碎屑岩沉积建造。上白垩统恰克马克其组岩性组合为泥岩、粉砂岩互层夹泥质砂岩、凝灰岩、石膏，为一套滨浅海相-三角洲相碎屑岩沉积建造。中-上新统康村组岩性组合上部为砂岩夹砾岩，下部砂岩夹多层粉砂岩、泥岩条带，为一套陆内河湖相碎屑岩沉积建造。自上石炭统到新近系区域上整个盆地呈上升趋势，逐渐由深海相沉积转化为陆内河湖相碎屑岩沉积。</w:t>
      </w:r>
    </w:p>
    <w:bookmarkEnd w:id="3"/>
    <w:bookmarkEnd w:id="4"/>
    <w:bookmarkEnd w:id="5"/>
    <w:bookmarkEnd w:id="6"/>
    <w:bookmarkEnd w:id="7"/>
    <w:p>
      <w:pPr>
        <w:spacing w:line="500" w:lineRule="exact"/>
        <w:ind w:firstLine="480" w:firstLineChars="200"/>
        <w:rPr>
          <w:rFonts w:ascii="宋体" w:hAnsi="宋体"/>
          <w:sz w:val="24"/>
        </w:rPr>
      </w:pPr>
      <w:r>
        <w:rPr>
          <w:rFonts w:hint="eastAsia" w:ascii="宋体" w:hAnsi="宋体"/>
          <w:sz w:val="24"/>
        </w:rPr>
        <w:t>本工作区内仅见断层，在工区中北部出露一条弧形断裂，该断裂表现为右行走滑。呈北西-北东向的弧形，区内长约3.5千米，断裂切穿泥盆系-新近系地层。</w:t>
      </w:r>
    </w:p>
    <w:p>
      <w:pPr>
        <w:spacing w:line="500" w:lineRule="exact"/>
        <w:ind w:firstLine="480" w:firstLineChars="200"/>
        <w:rPr>
          <w:rFonts w:ascii="宋体" w:hAnsi="宋体"/>
          <w:sz w:val="24"/>
        </w:rPr>
      </w:pPr>
      <w:r>
        <w:rPr>
          <w:rFonts w:hint="eastAsia" w:ascii="宋体" w:hAnsi="宋体"/>
          <w:sz w:val="24"/>
        </w:rPr>
        <w:t>该区通过路线踏勘检查地表矿化线索</w:t>
      </w:r>
      <w:r>
        <w:rPr>
          <w:rFonts w:hint="eastAsia" w:ascii="宋体" w:hAnsi="宋体"/>
          <w:sz w:val="24"/>
          <w:lang w:eastAsia="zh-CN"/>
        </w:rPr>
        <w:t>不明显</w:t>
      </w:r>
      <w:r>
        <w:rPr>
          <w:rFonts w:hint="eastAsia" w:ascii="宋体" w:hAnsi="宋体"/>
          <w:sz w:val="24"/>
        </w:rPr>
        <w:t>。</w:t>
      </w:r>
    </w:p>
    <w:p>
      <w:pPr>
        <w:rPr>
          <w:rFonts w:ascii="仿宋" w:hAnsi="仿宋" w:eastAsia="仿宋"/>
          <w:b/>
          <w:sz w:val="28"/>
          <w:szCs w:val="28"/>
        </w:rPr>
      </w:pPr>
      <w:r>
        <w:rPr>
          <w:rFonts w:hint="eastAsia" w:ascii="仿宋" w:hAnsi="仿宋" w:eastAsia="仿宋"/>
          <w:b/>
          <w:sz w:val="28"/>
          <w:szCs w:val="28"/>
        </w:rPr>
        <w:t>三、勘查程度</w:t>
      </w:r>
    </w:p>
    <w:p>
      <w:pPr>
        <w:ind w:firstLine="480" w:firstLineChars="200"/>
        <w:rPr>
          <w:rFonts w:ascii="宋体" w:hAnsi="宋体"/>
          <w:sz w:val="24"/>
        </w:rPr>
      </w:pPr>
      <w:r>
        <w:rPr>
          <w:rFonts w:hint="eastAsia" w:ascii="宋体" w:hAnsi="宋体"/>
          <w:sz w:val="24"/>
        </w:rPr>
        <w:t>工作区</w:t>
      </w:r>
      <w:r>
        <w:rPr>
          <w:rFonts w:ascii="宋体" w:hAnsi="宋体"/>
          <w:sz w:val="24"/>
        </w:rPr>
        <w:t>块勘查程度</w:t>
      </w:r>
      <w:r>
        <w:rPr>
          <w:rFonts w:hint="eastAsia" w:ascii="宋体" w:hAnsi="宋体"/>
          <w:sz w:val="24"/>
        </w:rPr>
        <w:t>为地质预查</w:t>
      </w:r>
      <w:r>
        <w:rPr>
          <w:rFonts w:ascii="宋体" w:hAnsi="宋体"/>
          <w:sz w:val="24"/>
        </w:rPr>
        <w:t>。</w:t>
      </w: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bookmarkEnd w:id="0"/>
    <w:bookmarkEnd w:id="1"/>
    <w:p/>
    <w:p/>
    <w:p/>
    <w:p/>
    <w:p/>
    <w:p/>
    <w:p/>
    <w:p/>
    <w:p/>
    <w:p/>
    <w:p/>
    <w:p/>
    <w:p/>
    <w:p/>
    <w:p/>
    <w:p/>
    <w:p/>
    <w:p/>
    <w:p/>
    <w:p/>
    <w:p/>
    <w:p/>
    <w:p/>
    <w:p/>
    <w:p>
      <w:pPr>
        <w:sectPr>
          <w:pgSz w:w="11906" w:h="16838"/>
          <w:pgMar w:top="1440" w:right="1800" w:bottom="1440" w:left="1800" w:header="851" w:footer="992" w:gutter="0"/>
          <w:cols w:space="425" w:num="1"/>
          <w:docGrid w:type="lines" w:linePitch="312" w:charSpace="0"/>
        </w:sectPr>
      </w:pPr>
    </w:p>
    <w:p>
      <w:pPr>
        <w:rPr>
          <w:rFonts w:hint="eastAsia" w:eastAsia="宋体"/>
          <w:lang w:eastAsia="zh-CN"/>
        </w:rPr>
      </w:pPr>
      <w:r>
        <w:rPr>
          <w:rFonts w:hint="eastAsia"/>
          <w:lang w:val="en-US" w:eastAsia="zh-CN"/>
        </w:rPr>
        <w:t xml:space="preserve">                              </w:t>
      </w:r>
      <w:r>
        <w:rPr>
          <w:rFonts w:hint="eastAsia" w:eastAsia="宋体"/>
          <w:lang w:eastAsia="zh-CN"/>
        </w:rPr>
        <w:drawing>
          <wp:inline distT="0" distB="0" distL="114300" distR="114300">
            <wp:extent cx="6224270" cy="5718810"/>
            <wp:effectExtent l="0" t="0" r="5080" b="15240"/>
            <wp:docPr id="1" name="图片 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
                    <pic:cNvPicPr>
                      <a:picLocks noChangeAspect="1"/>
                    </pic:cNvPicPr>
                  </pic:nvPicPr>
                  <pic:blipFill>
                    <a:blip r:embed="rId5"/>
                    <a:srcRect l="22493" t="-1797" r="27998"/>
                    <a:stretch>
                      <a:fillRect/>
                    </a:stretch>
                  </pic:blipFill>
                  <pic:spPr>
                    <a:xfrm>
                      <a:off x="0" y="0"/>
                      <a:ext cx="6224270" cy="5718810"/>
                    </a:xfrm>
                    <a:prstGeom prst="rect">
                      <a:avLst/>
                    </a:prstGeom>
                  </pic:spPr>
                </pic:pic>
              </a:graphicData>
            </a:graphic>
          </wp:inline>
        </w:drawing>
      </w: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03E4"/>
    <w:multiLevelType w:val="singleLevel"/>
    <w:tmpl w:val="1FFB03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6A6"/>
    <w:rsid w:val="0006543F"/>
    <w:rsid w:val="0015528B"/>
    <w:rsid w:val="001D4689"/>
    <w:rsid w:val="0025514A"/>
    <w:rsid w:val="002D7BCB"/>
    <w:rsid w:val="00575CCC"/>
    <w:rsid w:val="005F3C8E"/>
    <w:rsid w:val="00687C42"/>
    <w:rsid w:val="00752996"/>
    <w:rsid w:val="00766757"/>
    <w:rsid w:val="00782136"/>
    <w:rsid w:val="00AD6874"/>
    <w:rsid w:val="00BF282B"/>
    <w:rsid w:val="00C63358"/>
    <w:rsid w:val="00EC3D9B"/>
    <w:rsid w:val="00FB6514"/>
    <w:rsid w:val="05604BAE"/>
    <w:rsid w:val="078B152C"/>
    <w:rsid w:val="07934ADE"/>
    <w:rsid w:val="088F6918"/>
    <w:rsid w:val="09361AE2"/>
    <w:rsid w:val="0A477E09"/>
    <w:rsid w:val="0CC971F3"/>
    <w:rsid w:val="14E933C4"/>
    <w:rsid w:val="1B5617E2"/>
    <w:rsid w:val="208347EA"/>
    <w:rsid w:val="243E5F25"/>
    <w:rsid w:val="24C62818"/>
    <w:rsid w:val="25E41994"/>
    <w:rsid w:val="2632466E"/>
    <w:rsid w:val="28D256FE"/>
    <w:rsid w:val="28D544DA"/>
    <w:rsid w:val="29730DE6"/>
    <w:rsid w:val="2DDB731A"/>
    <w:rsid w:val="325D3843"/>
    <w:rsid w:val="33CF6171"/>
    <w:rsid w:val="403B2F46"/>
    <w:rsid w:val="40D025E8"/>
    <w:rsid w:val="47F2579E"/>
    <w:rsid w:val="480A4543"/>
    <w:rsid w:val="49536C04"/>
    <w:rsid w:val="51982FE0"/>
    <w:rsid w:val="539D4E3F"/>
    <w:rsid w:val="59674C4E"/>
    <w:rsid w:val="5F4C2F06"/>
    <w:rsid w:val="60117DDB"/>
    <w:rsid w:val="61651789"/>
    <w:rsid w:val="6C9E15B9"/>
    <w:rsid w:val="6CB96172"/>
    <w:rsid w:val="70D26C6A"/>
    <w:rsid w:val="73D37BCB"/>
    <w:rsid w:val="79BB4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paragraph" w:styleId="3">
    <w:name w:val="heading 4"/>
    <w:basedOn w:val="1"/>
    <w:next w:val="4"/>
    <w:unhideWhenUsed/>
    <w:qFormat/>
    <w:uiPriority w:val="0"/>
    <w:pPr>
      <w:keepNext/>
      <w:keepLines/>
      <w:spacing w:before="280" w:after="290" w:line="376" w:lineRule="auto"/>
      <w:outlineLvl w:val="3"/>
    </w:pPr>
    <w:rPr>
      <w:rFonts w:ascii="Arial" w:hAnsi="Arial" w:eastAsia="黑体"/>
      <w:b/>
      <w:sz w:val="28"/>
      <w:szCs w:val="20"/>
    </w:rPr>
  </w:style>
  <w:style w:type="paragraph" w:styleId="5">
    <w:name w:val="heading 5"/>
    <w:basedOn w:val="1"/>
    <w:next w:val="1"/>
    <w:unhideWhenUsed/>
    <w:qFormat/>
    <w:uiPriority w:val="0"/>
    <w:pPr>
      <w:keepNext/>
      <w:keepLines/>
      <w:snapToGrid w:val="0"/>
      <w:spacing w:before="280" w:after="290" w:line="374" w:lineRule="auto"/>
      <w:ind w:firstLine="200" w:firstLineChars="200"/>
      <w:outlineLvl w:val="4"/>
    </w:pPr>
    <w:rPr>
      <w:rFonts w:hint="eastAsia" w:ascii="仿宋_GB2312" w:hAnsi="华文仿宋" w:eastAsia="仿宋_GB2312" w:cs="Arial Unicode MS"/>
      <w:b/>
      <w:bCs/>
      <w:spacing w:val="4"/>
      <w:kern w:val="0"/>
      <w:sz w:val="28"/>
      <w:szCs w:val="28"/>
    </w:rPr>
  </w:style>
  <w:style w:type="character" w:default="1" w:styleId="12">
    <w:name w:val="Default Paragraph Font"/>
    <w:unhideWhenUsed/>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Normal Indent"/>
    <w:basedOn w:val="1"/>
    <w:qFormat/>
    <w:uiPriority w:val="0"/>
    <w:pPr>
      <w:spacing w:line="300" w:lineRule="auto"/>
      <w:ind w:firstLine="482"/>
    </w:pPr>
    <w:rPr>
      <w:rFonts w:eastAsia="楷体_GB2312"/>
      <w:b/>
      <w:bCs/>
      <w:sz w:val="24"/>
    </w:rPr>
  </w:style>
  <w:style w:type="paragraph" w:styleId="6">
    <w:name w:val="Body Text Indent"/>
    <w:basedOn w:val="1"/>
    <w:qFormat/>
    <w:uiPriority w:val="0"/>
    <w:pPr>
      <w:spacing w:after="120"/>
      <w:ind w:left="420" w:leftChars="200"/>
    </w:pPr>
  </w:style>
  <w:style w:type="paragraph" w:styleId="7">
    <w:name w:val="Body Text Indent 2"/>
    <w:basedOn w:val="1"/>
    <w:qFormat/>
    <w:uiPriority w:val="0"/>
    <w:pPr>
      <w:spacing w:line="400" w:lineRule="exact"/>
      <w:ind w:firstLine="504"/>
    </w:pPr>
    <w:rPr>
      <w:rFonts w:ascii="仿宋_GB2312" w:hAnsi="宋体" w:eastAsia="仿宋_GB2312"/>
      <w:sz w:val="28"/>
    </w:rPr>
  </w:style>
  <w:style w:type="paragraph" w:styleId="8">
    <w:name w:val="Balloon Text"/>
    <w:basedOn w:val="1"/>
    <w:link w:val="15"/>
    <w:qFormat/>
    <w:uiPriority w:val="0"/>
    <w:rPr>
      <w:sz w:val="18"/>
      <w:szCs w:val="18"/>
    </w:rPr>
  </w:style>
  <w:style w:type="paragraph" w:styleId="9">
    <w:name w:val="Body Text Indent 3"/>
    <w:basedOn w:val="1"/>
    <w:qFormat/>
    <w:uiPriority w:val="0"/>
    <w:pPr>
      <w:ind w:firstLine="560" w:firstLineChars="200"/>
    </w:pPr>
    <w:rPr>
      <w:rFonts w:ascii="仿宋_GB2312" w:hAnsi="宋体" w:eastAsia="仿宋_GB2312"/>
      <w:sz w:val="2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哈密正文"/>
    <w:basedOn w:val="14"/>
    <w:qFormat/>
    <w:uiPriority w:val="0"/>
    <w:pPr>
      <w:widowControl w:val="0"/>
      <w:spacing w:afterLines="0" w:line="360" w:lineRule="auto"/>
      <w:ind w:firstLine="200" w:firstLineChars="200"/>
      <w:jc w:val="both"/>
    </w:pPr>
    <w:rPr>
      <w:b w:val="0"/>
      <w:sz w:val="24"/>
    </w:rPr>
  </w:style>
  <w:style w:type="paragraph" w:customStyle="1" w:styleId="14">
    <w:name w:val="表标题"/>
    <w:next w:val="1"/>
    <w:qFormat/>
    <w:uiPriority w:val="0"/>
    <w:pPr>
      <w:spacing w:afterLines="50"/>
      <w:jc w:val="center"/>
    </w:pPr>
    <w:rPr>
      <w:rFonts w:ascii="宋体" w:hAnsi="宋体" w:eastAsia="宋体" w:cs="Times New Roman"/>
      <w:b/>
      <w:kern w:val="2"/>
      <w:sz w:val="21"/>
      <w:szCs w:val="32"/>
      <w:lang w:val="en-US" w:eastAsia="zh-CN" w:bidi="ar-SA"/>
    </w:rPr>
  </w:style>
  <w:style w:type="character" w:customStyle="1" w:styleId="15">
    <w:name w:val="批注框文本 Char"/>
    <w:basedOn w:val="12"/>
    <w:link w:val="8"/>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1132</Words>
  <Characters>181</Characters>
  <Lines>1</Lines>
  <Paragraphs>2</Paragraphs>
  <TotalTime>15</TotalTime>
  <ScaleCrop>false</ScaleCrop>
  <LinksUpToDate>false</LinksUpToDate>
  <CharactersWithSpaces>1311</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尚海军</cp:lastModifiedBy>
  <dcterms:modified xsi:type="dcterms:W3CDTF">2021-04-19T07:42:11Z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