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ascii="宋体" w:hAnsi="宋体" w:eastAsia="宋体"/>
        </w:rPr>
      </w:pPr>
      <w:r>
        <w:rPr>
          <w:rFonts w:hint="eastAsia" w:ascii="宋体" w:hAnsi="宋体" w:eastAsia="宋体"/>
        </w:rPr>
        <w:t>新</w:t>
      </w:r>
      <w:r>
        <w:rPr>
          <w:rFonts w:ascii="宋体" w:hAnsi="宋体" w:eastAsia="宋体"/>
        </w:rPr>
        <w:t>疆</w:t>
      </w:r>
      <w:r>
        <w:rPr>
          <w:rFonts w:hint="eastAsia" w:ascii="宋体" w:hAnsi="宋体" w:eastAsia="宋体"/>
        </w:rPr>
        <w:t>塔什库尔干县曲曼地热普查地质概况</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一、项目概况</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1.交通位置及自然地理</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项目区位于新疆帕米尔高原塔什库尔干县城至提孜那甫乡曲曼村一带，</w:t>
      </w:r>
      <w:r>
        <w:rPr>
          <w:rFonts w:hint="eastAsia" w:ascii="仿宋_GB2312" w:hAnsi="宋体" w:eastAsia="仿宋_GB2312"/>
          <w:color w:val="000000"/>
          <w:sz w:val="28"/>
          <w:szCs w:val="28"/>
        </w:rPr>
        <w:t>314国道连通喀什市，里程298千米，交通较为便利。项目区地处寒温带，</w:t>
      </w:r>
      <w:r>
        <w:rPr>
          <w:rFonts w:hint="eastAsia" w:ascii="仿宋_GB2312" w:hAnsi="仿宋" w:eastAsia="仿宋_GB2312"/>
          <w:sz w:val="28"/>
          <w:szCs w:val="28"/>
        </w:rPr>
        <w:t>海拔3010～3200米，</w:t>
      </w:r>
      <w:r>
        <w:rPr>
          <w:rFonts w:hint="eastAsia" w:ascii="仿宋_GB2312" w:hAnsi="宋体" w:eastAsia="仿宋_GB2312"/>
          <w:color w:val="000000"/>
          <w:sz w:val="28"/>
          <w:szCs w:val="28"/>
        </w:rPr>
        <w:t>具大陆性高原山地干旱气候特征，冬季漫长、夏季短暂，四季不分明。</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2.项目沿革</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2007～2009年由自治区地质勘查基金出资，开展了地热地质勘查工作，结合前人资料，初步圈定两处地热异常区，揭露了温度为27-91℃的中低温地热资源；2010～2017年，再次由自治区地质勘查基金出资，开展了历经8年的综合勘查研究，圈定了曲曼大型高温地热田（揭露热储温度161℃）和辛滚小型低温地热田，取得了地热资源勘查研究的重大突破。</w:t>
      </w:r>
    </w:p>
    <w:p>
      <w:pPr>
        <w:ind w:firstLine="560" w:firstLineChars="200"/>
        <w:jc w:val="left"/>
        <w:rPr>
          <w:rFonts w:ascii="仿宋_GB2312" w:hAnsi="宋体" w:eastAsia="仿宋_GB2312"/>
          <w:color w:val="000000"/>
          <w:sz w:val="28"/>
          <w:szCs w:val="28"/>
        </w:rPr>
      </w:pPr>
      <w:r>
        <w:rPr>
          <w:rFonts w:hint="eastAsia" w:ascii="仿宋_GB2312" w:hAnsi="宋体" w:eastAsia="仿宋_GB2312"/>
          <w:color w:val="000000"/>
          <w:sz w:val="28"/>
          <w:szCs w:val="28"/>
        </w:rPr>
        <w:t>3.探矿权内本次工作情况</w:t>
      </w:r>
    </w:p>
    <w:p>
      <w:pPr>
        <w:ind w:firstLine="560" w:firstLineChars="200"/>
        <w:jc w:val="left"/>
        <w:rPr>
          <w:rFonts w:ascii="仿宋_GB2312" w:hAnsi="宋体" w:eastAsia="仿宋_GB2312"/>
          <w:color w:val="000000"/>
          <w:sz w:val="28"/>
          <w:szCs w:val="28"/>
        </w:rPr>
      </w:pPr>
      <w:r>
        <w:rPr>
          <w:rFonts w:hint="eastAsia" w:ascii="仿宋_GB2312" w:hAnsi="宋体" w:eastAsia="仿宋_GB2312"/>
          <w:color w:val="000000"/>
          <w:sz w:val="28"/>
          <w:szCs w:val="28"/>
        </w:rPr>
        <w:t>曲曼地热田拐点坐标：①75°12′51″，37°51′21″②75°13′23″，37°52′58″③75°12′41″，37°52′58″④75°10′54″，37°51′21″⑤75°10′54″，37°50′47″⑥75°11′54″，37°50′47″</w:t>
      </w:r>
      <w:r>
        <w:rPr>
          <w:rFonts w:hint="eastAsia" w:ascii="仿宋_GB2312" w:hAnsi="仿宋" w:eastAsia="仿宋_GB2312"/>
          <w:sz w:val="28"/>
          <w:szCs w:val="28"/>
        </w:rPr>
        <w:t>。</w:t>
      </w:r>
    </w:p>
    <w:p>
      <w:pPr>
        <w:ind w:firstLine="560" w:firstLineChars="200"/>
        <w:jc w:val="left"/>
        <w:rPr>
          <w:rFonts w:hint="eastAsia" w:ascii="仿宋_GB2312" w:hAnsi="宋体" w:eastAsia="仿宋_GB2312"/>
          <w:b w:val="0"/>
          <w:bCs/>
          <w:color w:val="000000"/>
          <w:sz w:val="24"/>
          <w:szCs w:val="24"/>
          <w:lang w:eastAsia="zh-CN"/>
        </w:rPr>
      </w:pPr>
      <w:r>
        <w:rPr>
          <w:rFonts w:hint="eastAsia" w:ascii="仿宋_GB2312" w:hAnsi="宋体" w:eastAsia="仿宋_GB2312"/>
          <w:color w:val="000000"/>
          <w:sz w:val="28"/>
          <w:szCs w:val="28"/>
        </w:rPr>
        <w:t>由于曲曼地热田压占湿地（图1），去除湿地后拐点坐标</w:t>
      </w:r>
      <w:r>
        <w:rPr>
          <w:rFonts w:hint="eastAsia" w:ascii="仿宋_GB2312" w:hAnsi="宋体" w:eastAsia="仿宋_GB2312"/>
          <w:color w:val="000000"/>
          <w:sz w:val="28"/>
          <w:szCs w:val="28"/>
          <w:lang w:val="en-US" w:eastAsia="zh-CN"/>
        </w:rPr>
        <w:t>(2000坐标)</w:t>
      </w:r>
      <w:r>
        <w:rPr>
          <w:rFonts w:hint="eastAsia" w:ascii="仿宋_GB2312" w:hAnsi="宋体" w:eastAsia="仿宋_GB2312"/>
          <w:color w:val="000000"/>
          <w:sz w:val="28"/>
          <w:szCs w:val="28"/>
        </w:rPr>
        <w:t>：</w:t>
      </w:r>
      <w:r>
        <w:rPr>
          <w:rFonts w:hint="eastAsia" w:ascii="仿宋_GB2312" w:hAnsi="宋体" w:eastAsia="仿宋_GB2312"/>
          <w:b w:val="0"/>
          <w:bCs/>
          <w:color w:val="000000"/>
          <w:sz w:val="24"/>
          <w:szCs w:val="24"/>
        </w:rPr>
        <w:t>75.1250090,37.5145280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75.1311390,37.5258850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75.1241000,37.5258000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75.1058000,37.5122000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75.1058000,37.5053000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75.1103000,37.5056000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75.1113000,37.5048000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75.1125000,37.5048000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75.1141000,37.5104000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75.1136000,37.5048000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75.1155000,37.5048000</w:t>
      </w:r>
      <w:r>
        <w:rPr>
          <w:rFonts w:hint="eastAsia" w:ascii="仿宋_GB2312" w:hAnsi="宋体" w:eastAsia="仿宋_GB2312"/>
          <w:b w:val="0"/>
          <w:bCs/>
          <w:color w:val="000000"/>
          <w:sz w:val="24"/>
          <w:szCs w:val="24"/>
          <w:lang w:eastAsia="zh-CN"/>
        </w:rPr>
        <w:t>；</w:t>
      </w:r>
    </w:p>
    <w:p>
      <w:pPr>
        <w:jc w:val="both"/>
        <w:rPr>
          <w:rFonts w:hint="eastAsia" w:ascii="仿宋_GB2312" w:hAnsi="宋体" w:eastAsia="仿宋_GB2312"/>
          <w:b w:val="0"/>
          <w:bCs/>
          <w:color w:val="000000"/>
          <w:sz w:val="24"/>
          <w:szCs w:val="24"/>
          <w:lang w:val="en-US" w:eastAsia="zh-CN"/>
        </w:rPr>
      </w:pPr>
      <w:r>
        <w:rPr>
          <w:rFonts w:hint="eastAsia" w:ascii="仿宋_GB2312" w:hAnsi="宋体" w:eastAsia="仿宋_GB2312"/>
          <w:b w:val="0"/>
          <w:bCs/>
          <w:color w:val="000000"/>
          <w:sz w:val="24"/>
          <w:szCs w:val="24"/>
        </w:rPr>
        <w:t>75.1234000,37.5111000</w:t>
      </w:r>
      <w:r>
        <w:rPr>
          <w:rFonts w:hint="eastAsia" w:ascii="仿宋_GB2312" w:hAnsi="宋体" w:eastAsia="仿宋_GB2312"/>
          <w:b w:val="0"/>
          <w:bCs/>
          <w:color w:val="000000"/>
          <w:sz w:val="24"/>
          <w:szCs w:val="24"/>
          <w:lang w:eastAsia="zh-CN"/>
        </w:rPr>
        <w:t>；</w:t>
      </w:r>
      <w:r>
        <w:rPr>
          <w:rFonts w:hint="eastAsia" w:ascii="仿宋_GB2312" w:hAnsi="宋体" w:eastAsia="仿宋_GB2312"/>
          <w:b w:val="0"/>
          <w:bCs/>
          <w:color w:val="000000"/>
          <w:sz w:val="24"/>
          <w:szCs w:val="24"/>
        </w:rPr>
        <w:t>75.1230000,37.5128000</w:t>
      </w:r>
      <w:r>
        <w:rPr>
          <w:rFonts w:hint="eastAsia" w:ascii="仿宋_GB2312" w:hAnsi="宋体" w:eastAsia="仿宋_GB2312"/>
          <w:b w:val="0"/>
          <w:bCs/>
          <w:color w:val="000000"/>
          <w:sz w:val="24"/>
          <w:szCs w:val="24"/>
          <w:lang w:eastAsia="zh-CN"/>
        </w:rPr>
        <w:t>。范围包括出让一区、二区。</w:t>
      </w:r>
      <w:bookmarkStart w:id="0" w:name="_GoBack"/>
      <w:bookmarkEnd w:id="0"/>
    </w:p>
    <w:p>
      <w:pPr>
        <w:rPr>
          <w:rFonts w:ascii="仿宋_GB2312" w:hAnsi="宋体" w:eastAsia="仿宋_GB2312"/>
          <w:color w:val="000000"/>
          <w:sz w:val="28"/>
          <w:szCs w:val="28"/>
        </w:rPr>
      </w:pPr>
      <w:r>
        <w:rPr>
          <w:rFonts w:ascii="仿宋_GB2312" w:hAnsi="宋体" w:eastAsia="仿宋_GB2312"/>
          <w:color w:val="000000"/>
          <w:sz w:val="28"/>
          <w:szCs w:val="28"/>
        </w:rPr>
        <w:drawing>
          <wp:inline distT="0" distB="0" distL="0" distR="0">
            <wp:extent cx="5273675" cy="4743450"/>
            <wp:effectExtent l="19050" t="0" r="3040" b="0"/>
            <wp:docPr id="3" name="图片 1" descr="C:\Users\tyn\Desktop\曲曼地热田压占湿地\曲曼湿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C:\Users\tyn\Desktop\曲曼地热田压占湿地\曲曼湿地.JPG"/>
                    <pic:cNvPicPr>
                      <a:picLocks noChangeAspect="1" noChangeArrowheads="1"/>
                    </pic:cNvPicPr>
                  </pic:nvPicPr>
                  <pic:blipFill>
                    <a:blip r:embed="rId4" cstate="print"/>
                    <a:srcRect/>
                    <a:stretch>
                      <a:fillRect/>
                    </a:stretch>
                  </pic:blipFill>
                  <pic:spPr>
                    <a:xfrm>
                      <a:off x="0" y="0"/>
                      <a:ext cx="5278120" cy="4747326"/>
                    </a:xfrm>
                    <a:prstGeom prst="rect">
                      <a:avLst/>
                    </a:prstGeom>
                    <a:noFill/>
                    <a:ln w="9525">
                      <a:noFill/>
                      <a:miter lim="800000"/>
                      <a:headEnd/>
                      <a:tailEnd/>
                    </a:ln>
                  </pic:spPr>
                </pic:pic>
              </a:graphicData>
            </a:graphic>
          </wp:inline>
        </w:drawing>
      </w:r>
    </w:p>
    <w:p>
      <w:pPr>
        <w:ind w:firstLine="560" w:firstLineChars="200"/>
        <w:jc w:val="left"/>
        <w:rPr>
          <w:rFonts w:ascii="仿宋_GB2312" w:hAnsi="宋体" w:eastAsia="仿宋_GB2312"/>
          <w:color w:val="000000"/>
          <w:sz w:val="28"/>
          <w:szCs w:val="28"/>
        </w:rPr>
      </w:pPr>
      <w:r>
        <w:rPr>
          <w:rFonts w:hint="eastAsia" w:ascii="仿宋_GB2312" w:hAnsi="宋体" w:eastAsia="仿宋_GB2312"/>
          <w:color w:val="000000"/>
          <w:sz w:val="28"/>
          <w:szCs w:val="28"/>
        </w:rPr>
        <w:t>扣除湿地面积后，曲曼地热田的面积约为7.</w:t>
      </w:r>
      <w:r>
        <w:rPr>
          <w:rFonts w:ascii="仿宋_GB2312" w:hAnsi="宋体" w:eastAsia="仿宋_GB2312"/>
          <w:color w:val="000000"/>
          <w:sz w:val="28"/>
          <w:szCs w:val="28"/>
        </w:rPr>
        <w:t>53平方千米。</w:t>
      </w:r>
    </w:p>
    <w:p>
      <w:pPr>
        <w:ind w:firstLine="560" w:firstLineChars="200"/>
        <w:jc w:val="left"/>
        <w:rPr>
          <w:rFonts w:ascii="仿宋_GB2312" w:hAnsi="宋体" w:eastAsia="仿宋_GB2312"/>
          <w:color w:val="000000"/>
          <w:sz w:val="28"/>
          <w:szCs w:val="28"/>
        </w:rPr>
      </w:pPr>
      <w:r>
        <w:rPr>
          <w:rFonts w:hint="eastAsia" w:ascii="仿宋_GB2312" w:hAnsi="宋体" w:eastAsia="仿宋_GB2312"/>
          <w:color w:val="000000"/>
          <w:sz w:val="28"/>
          <w:szCs w:val="28"/>
        </w:rPr>
        <w:t>本次采用遥感解译、地质调查、地温测量、物探（重震电磁）、化探（土壤氡、汞砷锑铋元素测量）、槽探、钻探、产能试验等综合勘查方法，基本查明了区内地热资源分布、形成条件以及地热流体物理化学特征，圈定了曲曼大型高温地热田和辛滚小型低温地热田范围，研究了高温地热资源的形成机理。勘查工作控制范围100平方千米。</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二、矿区地质</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项目区位于帕米尔构造区的中东部，处于喀喇昆仑一级构造带的塔什库尔干陆块内。地热资源受塔什库尔干断裂及其次级断裂控制，呈带状分布。地热田位于塔什库尔干及慕士塔格两个次级断裂的转换部位，地热流体赋存于北东向、南北向张性、张扭性断裂形成的网状断裂裂隙系统内（图2）。热储围岩为元古界变质岩及新生界侵入岩体，受断裂影响热储埋深差异较大，北部曲曼地热田一带热储埋深较浅，普遍在几十米至两百米之间不等，南部辛滚一带热储埋深普遍大于四百米。热储上覆盖层为侏罗系、新近系、第四系。</w:t>
      </w:r>
    </w:p>
    <w:p>
      <w:pPr>
        <w:jc w:val="center"/>
        <w:rPr>
          <w:rFonts w:ascii="仿宋" w:hAnsi="仿宋" w:eastAsia="仿宋"/>
          <w:sz w:val="28"/>
          <w:szCs w:val="28"/>
        </w:rPr>
      </w:pPr>
      <w:r>
        <w:rPr>
          <w:rFonts w:hint="eastAsia" w:ascii="仿宋" w:hAnsi="仿宋" w:eastAsia="仿宋"/>
          <w:sz w:val="28"/>
          <w:szCs w:val="28"/>
        </w:rPr>
        <w:drawing>
          <wp:inline distT="0" distB="0" distL="0" distR="0">
            <wp:extent cx="5274310" cy="4474210"/>
            <wp:effectExtent l="0" t="0" r="2540"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274310" cy="4474210"/>
                    </a:xfrm>
                    <a:prstGeom prst="rect">
                      <a:avLst/>
                    </a:prstGeom>
                  </pic:spPr>
                </pic:pic>
              </a:graphicData>
            </a:graphic>
          </wp:inline>
        </w:drawing>
      </w:r>
    </w:p>
    <w:p>
      <w:pPr>
        <w:jc w:val="center"/>
        <w:rPr>
          <w:rFonts w:ascii="仿宋" w:hAnsi="仿宋" w:eastAsia="仿宋"/>
          <w:sz w:val="28"/>
          <w:szCs w:val="28"/>
        </w:rPr>
      </w:pPr>
      <w:r>
        <w:rPr>
          <w:rFonts w:ascii="仿宋" w:hAnsi="仿宋" w:eastAsia="仿宋"/>
          <w:sz w:val="28"/>
          <w:szCs w:val="28"/>
        </w:rPr>
        <w:t>图</w:t>
      </w:r>
      <w:r>
        <w:rPr>
          <w:rFonts w:hint="eastAsia" w:ascii="仿宋" w:hAnsi="仿宋" w:eastAsia="仿宋"/>
          <w:sz w:val="28"/>
          <w:szCs w:val="28"/>
        </w:rPr>
        <w:t>2 勘查区地质图</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三、矿床地质</w:t>
      </w:r>
    </w:p>
    <w:p>
      <w:pPr>
        <w:ind w:firstLine="560" w:firstLineChars="200"/>
        <w:jc w:val="left"/>
        <w:rPr>
          <w:rFonts w:ascii="仿宋_GB2312" w:hAnsi="宋体" w:eastAsia="仿宋_GB2312"/>
          <w:sz w:val="28"/>
          <w:szCs w:val="28"/>
        </w:rPr>
      </w:pPr>
      <w:r>
        <w:rPr>
          <w:rFonts w:hint="eastAsia" w:ascii="仿宋_GB2312" w:hAnsi="宋体" w:eastAsia="仿宋_GB2312"/>
          <w:sz w:val="28"/>
          <w:szCs w:val="28"/>
        </w:rPr>
        <w:t>曲曼地热田面积为8.0平方千米，800米深度范围内地热流体温度为100～144℃，钻孔揭露最高热储温度为161℃，热储资源量为</w:t>
      </w:r>
      <w:r>
        <w:rPr>
          <w:rFonts w:hint="eastAsia" w:ascii="仿宋_GB2312" w:eastAsia="仿宋_GB2312"/>
          <w:sz w:val="28"/>
          <w:szCs w:val="28"/>
        </w:rPr>
        <w:t>55.919×10</w:t>
      </w:r>
      <w:r>
        <w:rPr>
          <w:rFonts w:hint="eastAsia" w:ascii="仿宋_GB2312" w:eastAsia="仿宋_GB2312"/>
          <w:sz w:val="28"/>
          <w:szCs w:val="28"/>
          <w:vertAlign w:val="superscript"/>
        </w:rPr>
        <w:t>11</w:t>
      </w:r>
      <w:r>
        <w:rPr>
          <w:rFonts w:hint="eastAsia" w:ascii="仿宋_GB2312" w:eastAsia="仿宋_GB2312"/>
          <w:sz w:val="28"/>
          <w:szCs w:val="28"/>
        </w:rPr>
        <w:t>MJ</w:t>
      </w:r>
      <w:r>
        <w:rPr>
          <w:rFonts w:hint="eastAsia" w:ascii="仿宋_GB2312" w:hAnsi="宋体" w:eastAsia="仿宋_GB2312"/>
          <w:sz w:val="28"/>
          <w:szCs w:val="28"/>
        </w:rPr>
        <w:t>（兆焦），产能为</w:t>
      </w:r>
      <w:r>
        <w:rPr>
          <w:rFonts w:hint="eastAsia" w:ascii="仿宋_GB2312" w:hAnsi="宋体" w:eastAsia="仿宋_GB2312"/>
          <w:color w:val="000000"/>
          <w:sz w:val="28"/>
          <w:szCs w:val="28"/>
        </w:rPr>
        <w:t>77952.5kWt（千瓦）</w:t>
      </w:r>
      <w:r>
        <w:rPr>
          <w:rFonts w:hint="eastAsia" w:ascii="仿宋_GB2312" w:hAnsi="宋体" w:eastAsia="仿宋_GB2312"/>
          <w:sz w:val="28"/>
          <w:szCs w:val="28"/>
        </w:rPr>
        <w:t>，属大型高温地热田。辛滚地热田面积为7.0平方千米,700米深度范围内地热流体温度为36～40℃，钻孔揭露热储温度为54℃，热储资源量为</w:t>
      </w:r>
      <w:r>
        <w:rPr>
          <w:rFonts w:hint="eastAsia" w:ascii="仿宋_GB2312" w:eastAsia="仿宋_GB2312"/>
          <w:sz w:val="28"/>
          <w:szCs w:val="28"/>
        </w:rPr>
        <w:t>43.133×10</w:t>
      </w:r>
      <w:r>
        <w:rPr>
          <w:rFonts w:hint="eastAsia" w:ascii="仿宋_GB2312" w:eastAsia="仿宋_GB2312"/>
          <w:sz w:val="28"/>
          <w:szCs w:val="28"/>
          <w:vertAlign w:val="superscript"/>
        </w:rPr>
        <w:t>11</w:t>
      </w:r>
      <w:r>
        <w:rPr>
          <w:rFonts w:hint="eastAsia" w:ascii="仿宋_GB2312" w:eastAsia="仿宋_GB2312"/>
          <w:sz w:val="28"/>
          <w:szCs w:val="28"/>
        </w:rPr>
        <w:t>MJ</w:t>
      </w:r>
      <w:r>
        <w:rPr>
          <w:rFonts w:hint="eastAsia" w:ascii="仿宋_GB2312" w:hAnsi="宋体" w:eastAsia="仿宋_GB2312"/>
          <w:sz w:val="28"/>
          <w:szCs w:val="28"/>
        </w:rPr>
        <w:t>（兆焦），产能为1407</w:t>
      </w:r>
      <w:r>
        <w:rPr>
          <w:rFonts w:hint="eastAsia" w:ascii="仿宋_GB2312" w:hAnsi="宋体" w:eastAsia="仿宋_GB2312"/>
          <w:color w:val="000000"/>
          <w:sz w:val="28"/>
          <w:szCs w:val="28"/>
        </w:rPr>
        <w:t>kWt（千瓦）</w:t>
      </w:r>
      <w:r>
        <w:rPr>
          <w:rFonts w:hint="eastAsia" w:ascii="仿宋_GB2312" w:hAnsi="宋体" w:eastAsia="仿宋_GB2312"/>
          <w:sz w:val="28"/>
          <w:szCs w:val="28"/>
        </w:rPr>
        <w:t>，属小型地温地热田。热储受断裂及裂隙控制，呈上宽下窄的带状热储（图2）。</w:t>
      </w:r>
    </w:p>
    <w:p>
      <w:pPr>
        <w:jc w:val="left"/>
        <w:rPr>
          <w:rFonts w:ascii="仿宋_GB2312" w:eastAsia="仿宋_GB2312"/>
          <w:sz w:val="28"/>
          <w:szCs w:val="28"/>
        </w:rPr>
      </w:pPr>
      <w:r>
        <w:rPr>
          <w:rFonts w:hint="eastAsia"/>
        </w:rPr>
        <w:drawing>
          <wp:inline distT="0" distB="0" distL="0" distR="0">
            <wp:extent cx="4961255" cy="2529205"/>
            <wp:effectExtent l="0" t="0" r="0" b="4445"/>
            <wp:docPr id="1" name="图片 1" descr="R2地热地质剖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R2地热地质剖面图"/>
                    <pic:cNvPicPr>
                      <a:picLocks noChangeAspect="1" noChangeArrowheads="1"/>
                    </pic:cNvPicPr>
                  </pic:nvPicPr>
                  <pic:blipFill>
                    <a:blip r:embed="rId6" cstate="print">
                      <a:extLst>
                        <a:ext uri="{28A0092B-C50C-407E-A947-70E740481C1C}">
                          <a14:useLocalDpi xmlns:a14="http://schemas.microsoft.com/office/drawing/2010/main" val="0"/>
                        </a:ext>
                      </a:extLst>
                    </a:blip>
                    <a:srcRect t="10454" r="8521" b="2452"/>
                    <a:stretch>
                      <a:fillRect/>
                    </a:stretch>
                  </pic:blipFill>
                  <pic:spPr>
                    <a:xfrm>
                      <a:off x="0" y="0"/>
                      <a:ext cx="4976123" cy="2536960"/>
                    </a:xfrm>
                    <a:prstGeom prst="rect">
                      <a:avLst/>
                    </a:prstGeom>
                    <a:noFill/>
                    <a:ln>
                      <a:noFill/>
                    </a:ln>
                  </pic:spPr>
                </pic:pic>
              </a:graphicData>
            </a:graphic>
          </wp:inline>
        </w:drawing>
      </w:r>
    </w:p>
    <w:p>
      <w:pPr>
        <w:jc w:val="left"/>
        <w:rPr>
          <w:rFonts w:ascii="仿宋_GB2312" w:eastAsia="仿宋_GB2312"/>
          <w:sz w:val="28"/>
          <w:szCs w:val="28"/>
        </w:rPr>
      </w:pPr>
      <w:r>
        <w:rPr>
          <w:rFonts w:hint="eastAsia"/>
        </w:rPr>
        <w:drawing>
          <wp:inline distT="0" distB="0" distL="0" distR="0">
            <wp:extent cx="4945380" cy="2673350"/>
            <wp:effectExtent l="0" t="0" r="7620" b="0"/>
            <wp:docPr id="2" name="图片 2" descr="R3剖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R3剖面"/>
                    <pic:cNvPicPr>
                      <a:picLocks noChangeAspect="1" noChangeArrowheads="1"/>
                    </pic:cNvPicPr>
                  </pic:nvPicPr>
                  <pic:blipFill>
                    <a:blip r:embed="rId7" cstate="print">
                      <a:extLst>
                        <a:ext uri="{28A0092B-C50C-407E-A947-70E740481C1C}">
                          <a14:useLocalDpi xmlns:a14="http://schemas.microsoft.com/office/drawing/2010/main" val="0"/>
                        </a:ext>
                      </a:extLst>
                    </a:blip>
                    <a:srcRect t="6363" r="1662"/>
                    <a:stretch>
                      <a:fillRect/>
                    </a:stretch>
                  </pic:blipFill>
                  <pic:spPr>
                    <a:xfrm>
                      <a:off x="0" y="0"/>
                      <a:ext cx="4958460" cy="2680350"/>
                    </a:xfrm>
                    <a:prstGeom prst="rect">
                      <a:avLst/>
                    </a:prstGeom>
                    <a:noFill/>
                    <a:ln>
                      <a:noFill/>
                    </a:ln>
                  </pic:spPr>
                </pic:pic>
              </a:graphicData>
            </a:graphic>
          </wp:inline>
        </w:drawing>
      </w:r>
    </w:p>
    <w:p>
      <w:pPr>
        <w:jc w:val="center"/>
        <w:rPr>
          <w:rFonts w:ascii="仿宋_GB2312" w:eastAsia="仿宋_GB2312"/>
          <w:sz w:val="28"/>
          <w:szCs w:val="28"/>
        </w:rPr>
      </w:pPr>
      <w:r>
        <w:rPr>
          <w:rFonts w:ascii="仿宋_GB2312" w:eastAsia="仿宋_GB2312"/>
          <w:sz w:val="28"/>
          <w:szCs w:val="28"/>
        </w:rPr>
        <w:t>图2</w:t>
      </w:r>
      <w:r>
        <w:rPr>
          <w:rFonts w:hint="eastAsia" w:ascii="仿宋_GB2312" w:eastAsia="仿宋_GB2312"/>
          <w:sz w:val="28"/>
          <w:szCs w:val="28"/>
        </w:rPr>
        <w:t xml:space="preserve"> 曲曼地热田东西向勘探线地热地质剖面图</w:t>
      </w:r>
    </w:p>
    <w:p>
      <w:pPr>
        <w:ind w:firstLine="560" w:firstLineChars="200"/>
        <w:jc w:val="left"/>
        <w:rPr>
          <w:rFonts w:ascii="仿宋_GB2312" w:hAnsi="宋体" w:eastAsia="仿宋_GB2312"/>
          <w:sz w:val="28"/>
          <w:szCs w:val="28"/>
        </w:rPr>
      </w:pPr>
      <w:r>
        <w:rPr>
          <w:rFonts w:hint="eastAsia" w:ascii="仿宋_GB2312" w:hAnsi="宋体" w:eastAsia="仿宋_GB2312"/>
          <w:sz w:val="28"/>
          <w:szCs w:val="28"/>
        </w:rPr>
        <w:t>项目区西、西南侧山区是地热流体的补给区，地下水沿断裂向深部循环，接受新生代侵入岩体放射性生热和深部热量传导热加热后形成地热流体资源，并向北东一带方向运移，在热田附近沿导热断裂上涌并赋存形成地热富集区。</w:t>
      </w:r>
    </w:p>
    <w:p>
      <w:pPr>
        <w:ind w:firstLine="560" w:firstLineChars="200"/>
        <w:jc w:val="left"/>
        <w:rPr>
          <w:rFonts w:ascii="仿宋_GB2312" w:hAnsi="仿宋" w:eastAsia="仿宋_GB2312"/>
          <w:sz w:val="28"/>
          <w:szCs w:val="28"/>
        </w:rPr>
      </w:pPr>
      <w:r>
        <w:rPr>
          <w:rFonts w:hint="eastAsia" w:ascii="仿宋_GB2312" w:hAnsi="仿宋" w:eastAsia="仿宋_GB2312"/>
          <w:sz w:val="28"/>
          <w:szCs w:val="28"/>
        </w:rPr>
        <w:t>四、主要成果及社会经济效益</w:t>
      </w:r>
    </w:p>
    <w:p>
      <w:pPr>
        <w:ind w:firstLine="560" w:firstLineChars="200"/>
        <w:jc w:val="left"/>
        <w:rPr>
          <w:rFonts w:ascii="仿宋" w:hAnsi="仿宋" w:eastAsia="仿宋"/>
          <w:sz w:val="28"/>
          <w:szCs w:val="28"/>
        </w:rPr>
      </w:pPr>
      <w:r>
        <w:rPr>
          <w:rFonts w:hint="eastAsia" w:ascii="仿宋_GB2312" w:eastAsia="仿宋_GB2312"/>
          <w:sz w:val="28"/>
          <w:szCs w:val="28"/>
        </w:rPr>
        <w:t>本次工作圈定了新疆首个大型高温地热田—曲曼地热田。地热资源埋藏浅，热储温度高、资源储量大、开采条件经济，</w:t>
      </w:r>
      <w:r>
        <w:rPr>
          <w:rFonts w:hint="eastAsia" w:ascii="仿宋_GB2312" w:hAnsi="宋体" w:eastAsia="仿宋_GB2312"/>
          <w:color w:val="000000"/>
          <w:sz w:val="28"/>
          <w:szCs w:val="28"/>
        </w:rPr>
        <w:t>适用于烘干、发电、采暖、医疗、洗浴、温室等综合</w:t>
      </w:r>
      <w:r>
        <w:rPr>
          <w:rFonts w:hint="eastAsia" w:ascii="仿宋_GB2312" w:eastAsia="仿宋_GB2312"/>
          <w:sz w:val="28"/>
          <w:szCs w:val="28"/>
        </w:rPr>
        <w:t>开发利用，</w:t>
      </w:r>
      <w:r>
        <w:rPr>
          <w:rFonts w:hint="eastAsia" w:ascii="仿宋_GB2312" w:hAnsi="宋体" w:eastAsia="仿宋_GB2312"/>
          <w:color w:val="000000"/>
          <w:sz w:val="28"/>
          <w:szCs w:val="28"/>
        </w:rPr>
        <w:t>经济价值高</w:t>
      </w:r>
      <w:r>
        <w:rPr>
          <w:rFonts w:hint="eastAsia" w:ascii="仿宋_GB2312" w:eastAsia="仿宋_GB2312"/>
          <w:sz w:val="28"/>
          <w:szCs w:val="28"/>
        </w:rPr>
        <w:t>，可解决当地漫长冬季供暖的资源短缺困境，并可带动种植业、旅游业等产业的发展。</w:t>
      </w:r>
    </w:p>
    <w:sectPr>
      <w:pgSz w:w="11906" w:h="16838"/>
      <w:pgMar w:top="1440" w:right="1797" w:bottom="1440" w:left="1797" w:header="851" w:footer="992" w:gutter="0"/>
      <w:cols w:space="425"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A3DF6"/>
    <w:rsid w:val="00020E72"/>
    <w:rsid w:val="00046678"/>
    <w:rsid w:val="000C6F6E"/>
    <w:rsid w:val="0012759E"/>
    <w:rsid w:val="001543AA"/>
    <w:rsid w:val="00171C8B"/>
    <w:rsid w:val="0017581A"/>
    <w:rsid w:val="00215B2F"/>
    <w:rsid w:val="002325E8"/>
    <w:rsid w:val="00260326"/>
    <w:rsid w:val="00266DE8"/>
    <w:rsid w:val="002F5702"/>
    <w:rsid w:val="00334386"/>
    <w:rsid w:val="00345F6A"/>
    <w:rsid w:val="00357782"/>
    <w:rsid w:val="0036142F"/>
    <w:rsid w:val="00375338"/>
    <w:rsid w:val="00387240"/>
    <w:rsid w:val="003943C3"/>
    <w:rsid w:val="00460F9C"/>
    <w:rsid w:val="00470715"/>
    <w:rsid w:val="00475106"/>
    <w:rsid w:val="004905C8"/>
    <w:rsid w:val="004C2D74"/>
    <w:rsid w:val="004D0198"/>
    <w:rsid w:val="004D11AB"/>
    <w:rsid w:val="004D146B"/>
    <w:rsid w:val="004D75DC"/>
    <w:rsid w:val="004F15DE"/>
    <w:rsid w:val="005153BD"/>
    <w:rsid w:val="00540D5B"/>
    <w:rsid w:val="00571520"/>
    <w:rsid w:val="005F4A3A"/>
    <w:rsid w:val="0065605E"/>
    <w:rsid w:val="006C173C"/>
    <w:rsid w:val="006E6DB8"/>
    <w:rsid w:val="006F64BC"/>
    <w:rsid w:val="00710894"/>
    <w:rsid w:val="007334EB"/>
    <w:rsid w:val="00805A8B"/>
    <w:rsid w:val="0082161C"/>
    <w:rsid w:val="00837656"/>
    <w:rsid w:val="00846687"/>
    <w:rsid w:val="00851B51"/>
    <w:rsid w:val="008C6D53"/>
    <w:rsid w:val="008E079D"/>
    <w:rsid w:val="008E3D6D"/>
    <w:rsid w:val="00915C29"/>
    <w:rsid w:val="0094264D"/>
    <w:rsid w:val="00943BC4"/>
    <w:rsid w:val="0097655B"/>
    <w:rsid w:val="009A6632"/>
    <w:rsid w:val="009C13EF"/>
    <w:rsid w:val="009C7140"/>
    <w:rsid w:val="009E0695"/>
    <w:rsid w:val="009E1D18"/>
    <w:rsid w:val="00A048C8"/>
    <w:rsid w:val="00A941D0"/>
    <w:rsid w:val="00AC6371"/>
    <w:rsid w:val="00AF00C4"/>
    <w:rsid w:val="00B101FE"/>
    <w:rsid w:val="00B25925"/>
    <w:rsid w:val="00B72A71"/>
    <w:rsid w:val="00BA5B4C"/>
    <w:rsid w:val="00BB6F58"/>
    <w:rsid w:val="00BE28F0"/>
    <w:rsid w:val="00BE2B6B"/>
    <w:rsid w:val="00BF769E"/>
    <w:rsid w:val="00C26A12"/>
    <w:rsid w:val="00C424F4"/>
    <w:rsid w:val="00C73250"/>
    <w:rsid w:val="00C76D3D"/>
    <w:rsid w:val="00C94F61"/>
    <w:rsid w:val="00CD092A"/>
    <w:rsid w:val="00CF05EF"/>
    <w:rsid w:val="00D2336F"/>
    <w:rsid w:val="00D32B60"/>
    <w:rsid w:val="00D45F48"/>
    <w:rsid w:val="00D5215A"/>
    <w:rsid w:val="00DA3512"/>
    <w:rsid w:val="00DB7F52"/>
    <w:rsid w:val="00E02C2E"/>
    <w:rsid w:val="00E171FE"/>
    <w:rsid w:val="00E4468E"/>
    <w:rsid w:val="00E875A4"/>
    <w:rsid w:val="00EC1B42"/>
    <w:rsid w:val="00EC453C"/>
    <w:rsid w:val="00ED1BA2"/>
    <w:rsid w:val="00EF702F"/>
    <w:rsid w:val="00F11CB6"/>
    <w:rsid w:val="00F206F9"/>
    <w:rsid w:val="00F37FF4"/>
    <w:rsid w:val="00F620B0"/>
    <w:rsid w:val="00F7509E"/>
    <w:rsid w:val="00FA3DF6"/>
    <w:rsid w:val="00FC0D5F"/>
    <w:rsid w:val="00FF593A"/>
    <w:rsid w:val="0EAE77A3"/>
    <w:rsid w:val="3B4737D4"/>
    <w:rsid w:val="7E8820E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link w:val="20"/>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1">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Document Map"/>
    <w:basedOn w:val="1"/>
    <w:link w:val="21"/>
    <w:semiHidden/>
    <w:unhideWhenUsed/>
    <w:qFormat/>
    <w:uiPriority w:val="99"/>
    <w:rPr>
      <w:rFonts w:ascii="宋体" w:eastAsia="宋体"/>
      <w:sz w:val="18"/>
      <w:szCs w:val="18"/>
    </w:rPr>
  </w:style>
  <w:style w:type="paragraph" w:styleId="4">
    <w:name w:val="annotation text"/>
    <w:basedOn w:val="1"/>
    <w:link w:val="17"/>
    <w:semiHidden/>
    <w:unhideWhenUsed/>
    <w:qFormat/>
    <w:uiPriority w:val="99"/>
    <w:pPr>
      <w:jc w:val="left"/>
    </w:pPr>
  </w:style>
  <w:style w:type="paragraph" w:styleId="5">
    <w:name w:val="Balloon Text"/>
    <w:basedOn w:val="1"/>
    <w:link w:val="19"/>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snapToGrid w:val="0"/>
      <w:jc w:val="left"/>
    </w:pPr>
    <w:rPr>
      <w:sz w:val="18"/>
      <w:szCs w:val="18"/>
    </w:rPr>
  </w:style>
  <w:style w:type="paragraph" w:styleId="7">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annotation subject"/>
    <w:basedOn w:val="4"/>
    <w:next w:val="4"/>
    <w:link w:val="18"/>
    <w:semiHidden/>
    <w:unhideWhenUsed/>
    <w:qFormat/>
    <w:uiPriority w:val="99"/>
    <w:rPr>
      <w:b/>
      <w:bCs/>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Hyperlink"/>
    <w:basedOn w:val="11"/>
    <w:unhideWhenUsed/>
    <w:qFormat/>
    <w:uiPriority w:val="99"/>
    <w:rPr>
      <w:color w:val="0563C1" w:themeColor="hyperlink"/>
      <w:u w:val="single"/>
    </w:rPr>
  </w:style>
  <w:style w:type="character" w:styleId="13">
    <w:name w:val="annotation reference"/>
    <w:basedOn w:val="11"/>
    <w:semiHidden/>
    <w:unhideWhenUsed/>
    <w:qFormat/>
    <w:uiPriority w:val="99"/>
    <w:rPr>
      <w:sz w:val="21"/>
      <w:szCs w:val="21"/>
    </w:rPr>
  </w:style>
  <w:style w:type="character" w:customStyle="1" w:styleId="14">
    <w:name w:val="页眉 Char"/>
    <w:basedOn w:val="11"/>
    <w:link w:val="7"/>
    <w:qFormat/>
    <w:uiPriority w:val="99"/>
    <w:rPr>
      <w:sz w:val="18"/>
      <w:szCs w:val="18"/>
    </w:rPr>
  </w:style>
  <w:style w:type="character" w:customStyle="1" w:styleId="15">
    <w:name w:val="页脚 Char"/>
    <w:basedOn w:val="11"/>
    <w:link w:val="6"/>
    <w:qFormat/>
    <w:uiPriority w:val="99"/>
    <w:rPr>
      <w:sz w:val="18"/>
      <w:szCs w:val="18"/>
    </w:rPr>
  </w:style>
  <w:style w:type="paragraph" w:styleId="16">
    <w:name w:val="List Paragraph"/>
    <w:basedOn w:val="1"/>
    <w:qFormat/>
    <w:uiPriority w:val="34"/>
    <w:pPr>
      <w:ind w:firstLine="420" w:firstLineChars="200"/>
    </w:pPr>
  </w:style>
  <w:style w:type="character" w:customStyle="1" w:styleId="17">
    <w:name w:val="批注文字 Char"/>
    <w:basedOn w:val="11"/>
    <w:link w:val="4"/>
    <w:semiHidden/>
    <w:qFormat/>
    <w:uiPriority w:val="99"/>
  </w:style>
  <w:style w:type="character" w:customStyle="1" w:styleId="18">
    <w:name w:val="批注主题 Char"/>
    <w:basedOn w:val="17"/>
    <w:link w:val="8"/>
    <w:semiHidden/>
    <w:qFormat/>
    <w:uiPriority w:val="99"/>
    <w:rPr>
      <w:b/>
      <w:bCs/>
    </w:rPr>
  </w:style>
  <w:style w:type="character" w:customStyle="1" w:styleId="19">
    <w:name w:val="批注框文本 Char"/>
    <w:basedOn w:val="11"/>
    <w:link w:val="5"/>
    <w:semiHidden/>
    <w:qFormat/>
    <w:uiPriority w:val="99"/>
    <w:rPr>
      <w:sz w:val="18"/>
      <w:szCs w:val="18"/>
    </w:rPr>
  </w:style>
  <w:style w:type="character" w:customStyle="1" w:styleId="20">
    <w:name w:val="标题 2 Char"/>
    <w:basedOn w:val="11"/>
    <w:link w:val="2"/>
    <w:qFormat/>
    <w:uiPriority w:val="9"/>
    <w:rPr>
      <w:rFonts w:asciiTheme="majorHAnsi" w:hAnsiTheme="majorHAnsi" w:eastAsiaTheme="majorEastAsia" w:cstheme="majorBidi"/>
      <w:b/>
      <w:bCs/>
      <w:sz w:val="32"/>
      <w:szCs w:val="32"/>
    </w:rPr>
  </w:style>
  <w:style w:type="character" w:customStyle="1" w:styleId="21">
    <w:name w:val="文档结构图 Char"/>
    <w:basedOn w:val="11"/>
    <w:link w:val="3"/>
    <w:semiHidden/>
    <w:qFormat/>
    <w:uiPriority w:val="99"/>
    <w:rPr>
      <w:rFonts w:ascii="宋体" w:eastAsia="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customXml" Target="../customXml/item1.xml"/><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5FD9CFE-690A-4E3B-95CC-4E33604EE05B}">
  <ds:schemaRefs/>
</ds:datastoreItem>
</file>

<file path=docProps/app.xml><?xml version="1.0" encoding="utf-8"?>
<Properties xmlns="http://schemas.openxmlformats.org/officeDocument/2006/extended-properties" xmlns:vt="http://schemas.openxmlformats.org/officeDocument/2006/docPropsVTypes">
  <Template>Normal.dotm</Template>
  <Company>MS</Company>
  <Pages>6</Pages>
  <Words>264</Words>
  <Characters>1508</Characters>
  <Lines>12</Lines>
  <Paragraphs>3</Paragraphs>
  <TotalTime>1225</TotalTime>
  <ScaleCrop>false</ScaleCrop>
  <LinksUpToDate>false</LinksUpToDate>
  <CharactersWithSpaces>1769</CharactersWithSpaces>
  <Application>WPS Office_11.1.0.9739_F1E327BC-269C-435d-A152-05C5408002CA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2019-07-29T04:56:00Z</dcterms:created>
  <dc:creator>USER-</dc:creator>
  <cp:lastModifiedBy>尚海军</cp:lastModifiedBy>
  <dcterms:modified xsi:type="dcterms:W3CDTF">2021-04-19T08:11:25Z</dcterms:modified>
  <cp:revision>44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2052-11.1.0.9739</vt:lpwstr>
  </property>
</Properties>
</file>