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bookmarkStart w:id="0" w:name="_Toc382240302"/>
      <w:bookmarkStart w:id="1" w:name="_Toc515599140"/>
      <w:r>
        <w:rPr>
          <w:rFonts w:hint="eastAsia" w:ascii="仿宋" w:hAnsi="仿宋" w:eastAsia="仿宋"/>
          <w:b/>
          <w:sz w:val="28"/>
          <w:szCs w:val="28"/>
        </w:rPr>
        <w:t>新疆巴楚县三岔口</w:t>
      </w:r>
      <w:r>
        <w:rPr>
          <w:rFonts w:ascii="仿宋" w:hAnsi="仿宋" w:eastAsia="仿宋"/>
          <w:b/>
          <w:sz w:val="28"/>
          <w:szCs w:val="28"/>
        </w:rPr>
        <w:t>C</w:t>
      </w:r>
      <w:r>
        <w:rPr>
          <w:rFonts w:hint="eastAsia" w:ascii="仿宋" w:hAnsi="仿宋" w:eastAsia="仿宋"/>
          <w:b/>
          <w:sz w:val="28"/>
          <w:szCs w:val="28"/>
        </w:rPr>
        <w:t>区砂岩型铜矿</w:t>
      </w:r>
      <w:r>
        <w:rPr>
          <w:rFonts w:hint="eastAsia" w:ascii="仿宋" w:hAnsi="仿宋" w:eastAsia="仿宋"/>
          <w:b/>
          <w:sz w:val="28"/>
          <w:szCs w:val="28"/>
          <w:lang w:eastAsia="zh-CN"/>
        </w:rPr>
        <w:t>普</w:t>
      </w:r>
      <w:r>
        <w:rPr>
          <w:rFonts w:hint="eastAsia" w:ascii="仿宋" w:hAnsi="仿宋" w:eastAsia="仿宋"/>
          <w:b/>
          <w:sz w:val="28"/>
          <w:szCs w:val="28"/>
        </w:rPr>
        <w:t>查地质概况</w:t>
      </w:r>
    </w:p>
    <w:p>
      <w:pPr>
        <w:rPr>
          <w:rFonts w:ascii="仿宋" w:hAnsi="仿宋" w:eastAsia="仿宋"/>
          <w:b/>
          <w:sz w:val="28"/>
          <w:szCs w:val="28"/>
        </w:rPr>
      </w:pPr>
      <w:r>
        <w:rPr>
          <w:rFonts w:hint="eastAsia" w:ascii="仿宋" w:hAnsi="仿宋" w:eastAsia="仿宋"/>
          <w:b/>
          <w:sz w:val="28"/>
          <w:szCs w:val="28"/>
        </w:rPr>
        <w:t xml:space="preserve">一、基本情况 </w:t>
      </w:r>
    </w:p>
    <w:p>
      <w:pPr>
        <w:ind w:firstLine="480" w:firstLineChars="200"/>
        <w:rPr>
          <w:rFonts w:ascii="宋体" w:hAnsi="宋体"/>
          <w:sz w:val="24"/>
        </w:rPr>
      </w:pPr>
      <w:r>
        <w:rPr>
          <w:rFonts w:hint="eastAsia" w:ascii="宋体" w:hAnsi="宋体"/>
          <w:sz w:val="24"/>
        </w:rPr>
        <w:t>（一）位置交通</w:t>
      </w:r>
    </w:p>
    <w:p>
      <w:pPr>
        <w:spacing w:line="500" w:lineRule="exact"/>
        <w:ind w:firstLine="480" w:firstLineChars="200"/>
        <w:rPr>
          <w:rFonts w:ascii="宋体" w:hAnsi="宋体"/>
          <w:sz w:val="24"/>
        </w:rPr>
      </w:pPr>
      <w:r>
        <w:rPr>
          <w:rFonts w:hint="eastAsia" w:ascii="宋体" w:hAnsi="宋体"/>
          <w:sz w:val="24"/>
        </w:rPr>
        <w:t>工作区位于新疆巴楚县城西</w:t>
      </w:r>
      <w:r>
        <w:rPr>
          <w:rFonts w:ascii="宋体" w:hAnsi="宋体"/>
          <w:sz w:val="24"/>
        </w:rPr>
        <w:t>110</w:t>
      </w:r>
      <w:r>
        <w:rPr>
          <w:rFonts w:hint="eastAsia" w:ascii="宋体" w:hAnsi="宋体"/>
          <w:sz w:val="24"/>
        </w:rPr>
        <w:t>千米，距伽师县城约</w:t>
      </w:r>
      <w:r>
        <w:rPr>
          <w:rFonts w:ascii="宋体" w:hAnsi="宋体"/>
          <w:sz w:val="24"/>
        </w:rPr>
        <w:t>45</w:t>
      </w:r>
      <w:r>
        <w:rPr>
          <w:rFonts w:hint="eastAsia" w:ascii="宋体" w:hAnsi="宋体"/>
          <w:sz w:val="24"/>
        </w:rPr>
        <w:t>千米。地理坐标：东经</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35</w:t>
      </w:r>
      <w:r>
        <w:rPr>
          <w:rFonts w:hint="eastAsia" w:ascii="宋体" w:hAnsi="宋体"/>
          <w:sz w:val="24"/>
        </w:rPr>
        <w:t>″</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38</w:t>
      </w:r>
      <w:r>
        <w:rPr>
          <w:rFonts w:hint="eastAsia" w:ascii="宋体" w:hAnsi="宋体"/>
          <w:sz w:val="24"/>
        </w:rPr>
        <w:t>″、北纬</w:t>
      </w:r>
      <w:r>
        <w:rPr>
          <w:rFonts w:ascii="宋体" w:hAnsi="宋体"/>
          <w:sz w:val="24"/>
        </w:rPr>
        <w:t>39</w:t>
      </w:r>
      <w:r>
        <w:rPr>
          <w:rFonts w:hint="eastAsia" w:ascii="宋体" w:hAnsi="宋体"/>
          <w:sz w:val="24"/>
        </w:rPr>
        <w:t>°</w:t>
      </w:r>
      <w:r>
        <w:rPr>
          <w:rFonts w:ascii="宋体" w:hAnsi="宋体"/>
          <w:sz w:val="24"/>
        </w:rPr>
        <w:t>56</w:t>
      </w:r>
      <w:r>
        <w:rPr>
          <w:rFonts w:hint="eastAsia" w:ascii="宋体" w:hAnsi="宋体"/>
          <w:sz w:val="24"/>
        </w:rPr>
        <w:t>′</w:t>
      </w:r>
      <w:r>
        <w:rPr>
          <w:rFonts w:ascii="宋体" w:hAnsi="宋体"/>
          <w:sz w:val="24"/>
        </w:rPr>
        <w:t>10</w:t>
      </w:r>
      <w:r>
        <w:rPr>
          <w:rFonts w:hint="eastAsia" w:ascii="宋体" w:hAnsi="宋体"/>
          <w:sz w:val="24"/>
        </w:rPr>
        <w:t>″</w:t>
      </w:r>
      <w:r>
        <w:rPr>
          <w:rFonts w:ascii="宋体" w:hAnsi="宋体"/>
          <w:sz w:val="24"/>
        </w:rPr>
        <w:t>-39</w:t>
      </w:r>
      <w:r>
        <w:rPr>
          <w:rFonts w:hint="eastAsia" w:ascii="宋体" w:hAnsi="宋体"/>
          <w:sz w:val="24"/>
        </w:rPr>
        <w:t>°</w:t>
      </w:r>
      <w:r>
        <w:rPr>
          <w:rFonts w:ascii="宋体" w:hAnsi="宋体"/>
          <w:sz w:val="24"/>
        </w:rPr>
        <w:t>57</w:t>
      </w:r>
      <w:r>
        <w:rPr>
          <w:rFonts w:hint="eastAsia" w:ascii="宋体" w:hAnsi="宋体"/>
          <w:sz w:val="24"/>
        </w:rPr>
        <w:t>′</w:t>
      </w:r>
      <w:r>
        <w:rPr>
          <w:rFonts w:ascii="宋体" w:hAnsi="宋体"/>
          <w:sz w:val="24"/>
        </w:rPr>
        <w:t>49</w:t>
      </w:r>
      <w:r>
        <w:rPr>
          <w:rFonts w:hint="eastAsia" w:ascii="宋体" w:hAnsi="宋体"/>
          <w:sz w:val="24"/>
        </w:rPr>
        <w:t>″。工作区总面积约</w:t>
      </w:r>
      <w:r>
        <w:rPr>
          <w:rFonts w:ascii="宋体" w:hAnsi="宋体"/>
          <w:sz w:val="24"/>
        </w:rPr>
        <w:t>9</w:t>
      </w:r>
      <w:r>
        <w:rPr>
          <w:rFonts w:hint="eastAsia" w:ascii="宋体" w:hAnsi="宋体"/>
          <w:sz w:val="24"/>
        </w:rPr>
        <w:t>平方千米。行政区划隶属巴楚县管辖（图</w:t>
      </w:r>
      <w:r>
        <w:rPr>
          <w:rFonts w:ascii="宋体" w:hAnsi="宋体"/>
          <w:sz w:val="24"/>
        </w:rPr>
        <w:t>1-1</w:t>
      </w:r>
      <w:r>
        <w:rPr>
          <w:rFonts w:hint="eastAsia" w:ascii="宋体" w:hAnsi="宋体"/>
          <w:sz w:val="24"/>
        </w:rPr>
        <w:t>）。工作区外部交通较方便，</w:t>
      </w:r>
      <w:r>
        <w:rPr>
          <w:rFonts w:ascii="宋体" w:hAnsi="宋体"/>
          <w:sz w:val="24"/>
        </w:rPr>
        <w:t>314</w:t>
      </w:r>
      <w:r>
        <w:rPr>
          <w:rFonts w:hint="eastAsia" w:ascii="宋体" w:hAnsi="宋体"/>
          <w:sz w:val="24"/>
        </w:rPr>
        <w:t>国道从工区南部穿过。北部及南部有县乡公路通过，喀什喀尔套山及柯坪山南北两侧的第四系及较大沟谷中大多数勉强可通行汽车。但工区内中部中山区海拔较高，地形切割深，山高坡陡，通行困难，仅有个别大型沟谷可以穿越汽车。</w:t>
      </w:r>
    </w:p>
    <w:p>
      <w:pPr>
        <w:spacing w:line="500" w:lineRule="exact"/>
        <w:ind w:firstLine="480" w:firstLineChars="200"/>
        <w:rPr>
          <w:rFonts w:ascii="宋体" w:hAnsi="宋体"/>
          <w:sz w:val="24"/>
        </w:rPr>
      </w:pPr>
      <w:r>
        <w:rPr>
          <w:rFonts w:ascii="宋体" w:hAnsi="宋体"/>
          <w:sz w:val="24"/>
        </w:rPr>
        <w:pict>
          <v:shape id="图片 13" o:spid="_x0000_s1027" o:spt="75" alt="图1-1 交通位置图" type="#_x0000_t75" style="position:absolute;left:0pt;margin-left:12pt;margin-top:17.6pt;height:382.2pt;width:414pt;mso-wrap-distance-bottom:0pt;mso-wrap-distance-top:0pt;z-index:-251658240;mso-width-relative:page;mso-height-relative:page;" filled="f" o:preferrelative="t" stroked="f" coordsize="21600,21600">
            <v:path/>
            <v:fill on="f" focussize="0,0"/>
            <v:stroke on="f" joinstyle="miter"/>
            <v:imagedata r:id="rId5" cropleft="1590f" croptop="1123f" cropright="1743f" cropbottom="1533f" o:title="图1-1 交通位置图"/>
            <o:lock v:ext="edit" aspectratio="t"/>
            <w10:wrap type="topAndBottom"/>
          </v:shape>
        </w:pict>
      </w:r>
    </w:p>
    <w:p>
      <w:pPr>
        <w:spacing w:line="500" w:lineRule="exact"/>
        <w:ind w:left="480"/>
        <w:rPr>
          <w:rFonts w:ascii="宋体" w:hAnsi="宋体"/>
          <w:sz w:val="24"/>
        </w:rPr>
      </w:pPr>
      <w:r>
        <w:rPr>
          <w:rFonts w:hint="eastAsia" w:ascii="宋体" w:hAnsi="宋体"/>
          <w:sz w:val="24"/>
        </w:rPr>
        <w:t>（二）自然地理、经济状况</w:t>
      </w:r>
    </w:p>
    <w:p>
      <w:pPr>
        <w:spacing w:line="500" w:lineRule="exact"/>
        <w:ind w:firstLine="480" w:firstLineChars="200"/>
        <w:rPr>
          <w:rFonts w:ascii="宋体"/>
          <w:sz w:val="24"/>
        </w:rPr>
      </w:pPr>
      <w:r>
        <w:rPr>
          <w:rFonts w:hint="eastAsia" w:ascii="宋体" w:hAnsi="宋体"/>
          <w:sz w:val="24"/>
        </w:rPr>
        <w:t>工作区位于塔里木盆地西北缘，喀什喀尔套山及柯坪山呈近东西向横亘全区。海拔高程一般在</w:t>
      </w:r>
      <w:r>
        <w:rPr>
          <w:rFonts w:ascii="宋体" w:hAnsi="宋体"/>
          <w:sz w:val="24"/>
        </w:rPr>
        <w:t>1400-2200</w:t>
      </w:r>
      <w:r>
        <w:rPr>
          <w:rFonts w:hint="eastAsia" w:ascii="宋体" w:hAnsi="宋体"/>
          <w:sz w:val="24"/>
        </w:rPr>
        <w:t>米，地貌总体表现为西高东低</w:t>
      </w:r>
      <w:r>
        <w:rPr>
          <w:rFonts w:ascii="宋体"/>
          <w:sz w:val="24"/>
        </w:rPr>
        <w:t>,</w:t>
      </w:r>
      <w:r>
        <w:rPr>
          <w:rFonts w:hint="eastAsia" w:ascii="宋体" w:hAnsi="宋体"/>
          <w:sz w:val="24"/>
        </w:rPr>
        <w:t>中部高、南北两侧低，区内山势陡峻，部分地区形成阶梯状断崖及陡峭山峰</w:t>
      </w:r>
      <w:r>
        <w:rPr>
          <w:rFonts w:ascii="宋体"/>
          <w:sz w:val="24"/>
        </w:rPr>
        <w:t>,</w:t>
      </w:r>
      <w:r>
        <w:rPr>
          <w:rFonts w:hint="eastAsia" w:ascii="宋体" w:hAnsi="宋体"/>
          <w:sz w:val="24"/>
        </w:rPr>
        <w:t>绝大多数地段高差为</w:t>
      </w:r>
      <w:r>
        <w:rPr>
          <w:rFonts w:ascii="宋体" w:hAnsi="宋体"/>
          <w:sz w:val="24"/>
        </w:rPr>
        <w:t>500-700</w:t>
      </w:r>
      <w:r>
        <w:rPr>
          <w:rFonts w:hint="eastAsia" w:ascii="宋体" w:hAnsi="宋体"/>
          <w:sz w:val="24"/>
        </w:rPr>
        <w:t>米，属深切割的中山区。</w:t>
      </w:r>
    </w:p>
    <w:p>
      <w:pPr>
        <w:spacing w:line="500" w:lineRule="exact"/>
        <w:ind w:firstLine="480" w:firstLineChars="200"/>
        <w:rPr>
          <w:rFonts w:ascii="宋体"/>
          <w:sz w:val="24"/>
        </w:rPr>
      </w:pPr>
      <w:r>
        <w:rPr>
          <w:rFonts w:hint="eastAsia" w:ascii="宋体" w:hAnsi="宋体"/>
          <w:sz w:val="24"/>
        </w:rPr>
        <w:t>工作区属干旱大陆性气候，干燥少雨，昼夜温差大，日照充足，年平均气温</w:t>
      </w:r>
      <w:r>
        <w:rPr>
          <w:rFonts w:ascii="宋体" w:hAnsi="宋体"/>
          <w:sz w:val="24"/>
        </w:rPr>
        <w:t>11.7</w:t>
      </w:r>
      <w:r>
        <w:rPr>
          <w:rFonts w:hint="eastAsia" w:ascii="宋体" w:hAnsi="宋体"/>
          <w:sz w:val="24"/>
        </w:rPr>
        <w:t>℃。年平均降水量</w:t>
      </w:r>
      <w:r>
        <w:rPr>
          <w:rFonts w:ascii="宋体" w:hAnsi="宋体"/>
          <w:sz w:val="24"/>
        </w:rPr>
        <w:t>96.7</w:t>
      </w:r>
      <w:r>
        <w:rPr>
          <w:rFonts w:hint="eastAsia" w:ascii="宋体" w:hAnsi="宋体"/>
          <w:sz w:val="24"/>
        </w:rPr>
        <w:t>毫米，年均蒸发量</w:t>
      </w:r>
      <w:r>
        <w:rPr>
          <w:rFonts w:ascii="宋体" w:hAnsi="宋体"/>
          <w:sz w:val="24"/>
        </w:rPr>
        <w:t>2633.3</w:t>
      </w:r>
      <w:r>
        <w:rPr>
          <w:rFonts w:hint="eastAsia" w:ascii="宋体" w:hAnsi="宋体"/>
          <w:sz w:val="24"/>
        </w:rPr>
        <w:t>毫米，年均无霜期</w:t>
      </w:r>
      <w:r>
        <w:rPr>
          <w:rFonts w:ascii="宋体" w:hAnsi="宋体"/>
          <w:sz w:val="24"/>
        </w:rPr>
        <w:t>223</w:t>
      </w:r>
      <w:r>
        <w:rPr>
          <w:rFonts w:hint="eastAsia" w:ascii="宋体" w:hAnsi="宋体"/>
          <w:sz w:val="24"/>
        </w:rPr>
        <w:t>天。每年</w:t>
      </w:r>
      <w:r>
        <w:rPr>
          <w:rFonts w:ascii="宋体" w:hAnsi="宋体"/>
          <w:sz w:val="24"/>
        </w:rPr>
        <w:t>4-11</w:t>
      </w:r>
      <w:r>
        <w:rPr>
          <w:rFonts w:hint="eastAsia" w:ascii="宋体" w:hAnsi="宋体"/>
          <w:sz w:val="24"/>
        </w:rPr>
        <w:t>月为最佳野外工作时间。区内水系不发育，除少数咸水泉外无常年地表径流。区内山区植被不发育，多为裸露基岩。</w:t>
      </w:r>
    </w:p>
    <w:p>
      <w:pPr>
        <w:spacing w:line="500" w:lineRule="exact"/>
        <w:ind w:firstLine="480" w:firstLineChars="200"/>
        <w:rPr>
          <w:rFonts w:ascii="宋体"/>
          <w:sz w:val="28"/>
          <w:szCs w:val="28"/>
        </w:rPr>
      </w:pPr>
      <w:r>
        <w:rPr>
          <w:rFonts w:hint="eastAsia" w:ascii="宋体" w:hAnsi="宋体"/>
          <w:sz w:val="24"/>
        </w:rPr>
        <w:t>经济以农牧业为主，夏季有农牧民临时居住点。民族有维吾尔、汉、柯尔克孜等。</w:t>
      </w:r>
    </w:p>
    <w:p>
      <w:pPr>
        <w:spacing w:line="500" w:lineRule="exact"/>
        <w:ind w:firstLine="480" w:firstLineChars="200"/>
        <w:rPr>
          <w:rFonts w:ascii="宋体" w:hAnsi="宋体"/>
          <w:sz w:val="24"/>
        </w:rPr>
      </w:pPr>
      <w:r>
        <w:rPr>
          <w:rFonts w:hint="eastAsia" w:ascii="宋体" w:hAnsi="宋体"/>
          <w:sz w:val="24"/>
        </w:rPr>
        <w:t>（三）探矿权内完成的主要工作量及投入资金</w:t>
      </w:r>
      <w:bookmarkStart w:id="2" w:name="_Toc382240255"/>
    </w:p>
    <w:p>
      <w:pPr>
        <w:spacing w:line="500" w:lineRule="exact"/>
        <w:ind w:firstLine="480" w:firstLineChars="200"/>
        <w:rPr>
          <w:rFonts w:hint="eastAsia" w:ascii="宋体" w:hAnsi="宋体"/>
          <w:sz w:val="24"/>
          <w:lang w:eastAsia="zh-CN"/>
        </w:rPr>
      </w:pPr>
      <w:r>
        <w:rPr>
          <w:rFonts w:hint="eastAsia" w:ascii="宋体" w:hAnsi="宋体"/>
          <w:sz w:val="24"/>
        </w:rPr>
        <w:t>C工作区原探矿证编号T65120120802046483</w:t>
      </w:r>
      <w:bookmarkStart w:id="3" w:name="_GoBack"/>
      <w:bookmarkEnd w:id="3"/>
      <w:r>
        <w:rPr>
          <w:rFonts w:hint="eastAsia" w:ascii="宋体" w:hAnsi="宋体"/>
          <w:sz w:val="24"/>
        </w:rPr>
        <w:t>，（</w:t>
      </w:r>
      <w:r>
        <w:rPr>
          <w:rFonts w:hint="eastAsia" w:ascii="宋体" w:hAnsi="宋体"/>
          <w:sz w:val="24"/>
          <w:lang w:val="en-US" w:eastAsia="zh-CN"/>
        </w:rPr>
        <w:t>200</w:t>
      </w:r>
      <w:r>
        <w:rPr>
          <w:rFonts w:hint="eastAsia" w:ascii="宋体" w:hAnsi="宋体"/>
          <w:sz w:val="24"/>
        </w:rPr>
        <w:t>0坐标）：77.2056000,39.5602000</w:t>
      </w:r>
      <w:r>
        <w:rPr>
          <w:rFonts w:hint="eastAsia" w:ascii="宋体" w:hAnsi="宋体"/>
          <w:sz w:val="24"/>
          <w:lang w:val="en-US" w:eastAsia="zh-CN"/>
        </w:rPr>
        <w:t>;</w:t>
      </w:r>
      <w:r>
        <w:rPr>
          <w:rFonts w:hint="eastAsia" w:ascii="宋体" w:hAnsi="宋体"/>
          <w:sz w:val="24"/>
        </w:rPr>
        <w:t>77.2056000,39.5432000</w:t>
      </w:r>
      <w:r>
        <w:rPr>
          <w:rFonts w:hint="eastAsia" w:ascii="宋体" w:hAnsi="宋体"/>
          <w:sz w:val="24"/>
          <w:lang w:val="en-US" w:eastAsia="zh-CN"/>
        </w:rPr>
        <w:t>;</w:t>
      </w:r>
      <w:r>
        <w:rPr>
          <w:rFonts w:hint="eastAsia" w:ascii="宋体" w:hAnsi="宋体"/>
          <w:sz w:val="24"/>
        </w:rPr>
        <w:t>77.1827000,39.5435000</w:t>
      </w:r>
      <w:r>
        <w:rPr>
          <w:rFonts w:hint="eastAsia" w:ascii="宋体" w:hAnsi="宋体"/>
          <w:sz w:val="24"/>
          <w:lang w:val="en-US" w:eastAsia="zh-CN"/>
        </w:rPr>
        <w:t>;</w:t>
      </w:r>
    </w:p>
    <w:p>
      <w:pPr>
        <w:spacing w:line="500" w:lineRule="exact"/>
        <w:rPr>
          <w:rFonts w:hint="eastAsia" w:ascii="宋体" w:hAnsi="宋体"/>
          <w:sz w:val="24"/>
        </w:rPr>
      </w:pPr>
      <w:r>
        <w:rPr>
          <w:rFonts w:hint="eastAsia" w:ascii="宋体" w:hAnsi="宋体"/>
          <w:sz w:val="24"/>
        </w:rPr>
        <w:t>77.1830000,39.5604000</w:t>
      </w:r>
      <w:r>
        <w:rPr>
          <w:rFonts w:hint="eastAsia" w:ascii="宋体" w:hAnsi="宋体"/>
          <w:sz w:val="24"/>
          <w:lang w:val="en-US" w:eastAsia="zh-CN"/>
        </w:rPr>
        <w:t>;</w:t>
      </w:r>
      <w:r>
        <w:rPr>
          <w:rFonts w:hint="eastAsia" w:ascii="宋体" w:hAnsi="宋体"/>
          <w:sz w:val="24"/>
        </w:rPr>
        <w:t>77.2056000,39.5602000</w:t>
      </w:r>
      <w:r>
        <w:rPr>
          <w:rFonts w:hint="eastAsia" w:ascii="宋体" w:hAnsi="宋体"/>
          <w:sz w:val="24"/>
          <w:lang w:val="en-US" w:eastAsia="zh-CN"/>
        </w:rPr>
        <w:t>.</w:t>
      </w:r>
      <w:r>
        <w:rPr>
          <w:rFonts w:hint="eastAsia" w:ascii="宋体" w:hAnsi="宋体"/>
          <w:sz w:val="24"/>
        </w:rPr>
        <w:t>面积9.66平方公里。</w:t>
      </w:r>
    </w:p>
    <w:p>
      <w:pPr>
        <w:spacing w:line="500" w:lineRule="exact"/>
        <w:ind w:firstLine="480" w:firstLineChars="200"/>
        <w:rPr>
          <w:rFonts w:hint="eastAsia" w:ascii="宋体" w:hAnsi="宋体"/>
          <w:sz w:val="24"/>
        </w:rPr>
      </w:pPr>
      <w:r>
        <w:rPr>
          <w:rFonts w:hint="eastAsia" w:ascii="宋体" w:hAnsi="宋体"/>
          <w:sz w:val="24"/>
        </w:rPr>
        <w:t>投入主要实物工作量</w:t>
      </w:r>
      <w:bookmarkEnd w:id="2"/>
      <w:r>
        <w:rPr>
          <w:rFonts w:hint="eastAsia" w:ascii="宋体" w:hAnsi="宋体"/>
          <w:sz w:val="24"/>
        </w:rPr>
        <w:t>：1∶1万地质草测10Km2，1∶2千地质草测1Km2，1∶1万激电剖面测量8Km，槽探607.94m，钻探282.14m3，投入资金56万元。</w:t>
      </w:r>
    </w:p>
    <w:p>
      <w:pPr>
        <w:spacing w:line="500" w:lineRule="exact"/>
        <w:rPr>
          <w:rFonts w:ascii="仿宋" w:hAnsi="仿宋" w:eastAsia="仿宋"/>
          <w:b/>
          <w:sz w:val="28"/>
          <w:szCs w:val="28"/>
        </w:rPr>
      </w:pPr>
      <w:r>
        <w:rPr>
          <w:rFonts w:hint="eastAsia" w:ascii="仿宋" w:hAnsi="仿宋" w:eastAsia="仿宋"/>
          <w:b/>
          <w:sz w:val="28"/>
          <w:szCs w:val="28"/>
        </w:rPr>
        <w:t>二、地质特征</w:t>
      </w:r>
    </w:p>
    <w:p>
      <w:pPr>
        <w:spacing w:line="500" w:lineRule="exact"/>
        <w:ind w:firstLine="480" w:firstLineChars="200"/>
        <w:rPr>
          <w:rFonts w:ascii="宋体" w:hAnsi="宋体"/>
          <w:sz w:val="24"/>
        </w:rPr>
      </w:pPr>
      <w:r>
        <w:rPr>
          <w:rFonts w:hint="eastAsia" w:ascii="宋体" w:hAnsi="宋体"/>
          <w:sz w:val="24"/>
        </w:rPr>
        <w:t>（一）矿区地质特征</w:t>
      </w:r>
    </w:p>
    <w:p>
      <w:pPr>
        <w:adjustRightInd w:val="0"/>
        <w:snapToGrid w:val="0"/>
        <w:spacing w:line="500" w:lineRule="exact"/>
        <w:ind w:firstLine="480" w:firstLineChars="200"/>
        <w:rPr>
          <w:rFonts w:ascii="宋体"/>
          <w:sz w:val="24"/>
        </w:rPr>
      </w:pPr>
      <w:r>
        <w:rPr>
          <w:rFonts w:hint="eastAsia" w:ascii="宋体" w:hAnsi="宋体"/>
          <w:sz w:val="24"/>
        </w:rPr>
        <w:t>工区出露地层为中</w:t>
      </w:r>
      <w:r>
        <w:rPr>
          <w:rFonts w:ascii="宋体"/>
          <w:sz w:val="24"/>
        </w:rPr>
        <w:t>-</w:t>
      </w:r>
      <w:r>
        <w:rPr>
          <w:rFonts w:hint="eastAsia" w:ascii="宋体" w:hAnsi="宋体"/>
          <w:sz w:val="24"/>
        </w:rPr>
        <w:t>上新统康村组（</w:t>
      </w:r>
      <w:r>
        <w:rPr>
          <w:rFonts w:ascii="宋体" w:hAnsi="宋体"/>
          <w:sz w:val="24"/>
        </w:rPr>
        <w:t>N</w:t>
      </w:r>
      <w:r>
        <w:rPr>
          <w:rFonts w:ascii="宋体" w:hAnsi="宋体"/>
          <w:sz w:val="24"/>
          <w:vertAlign w:val="subscript"/>
        </w:rPr>
        <w:t>1-2</w:t>
      </w:r>
      <w:r>
        <w:rPr>
          <w:rFonts w:ascii="宋体" w:hAnsi="宋体"/>
          <w:sz w:val="24"/>
        </w:rPr>
        <w:t>k</w:t>
      </w:r>
      <w:r>
        <w:rPr>
          <w:rFonts w:hint="eastAsia" w:ascii="宋体" w:hAnsi="宋体"/>
          <w:sz w:val="24"/>
        </w:rPr>
        <w:t>），上新统库车组（</w:t>
      </w:r>
      <w:r>
        <w:rPr>
          <w:rFonts w:ascii="宋体" w:hAnsi="宋体"/>
          <w:sz w:val="24"/>
        </w:rPr>
        <w:t>N</w:t>
      </w:r>
      <w:r>
        <w:rPr>
          <w:rFonts w:ascii="宋体" w:hAnsi="宋体"/>
          <w:sz w:val="24"/>
          <w:vertAlign w:val="subscript"/>
        </w:rPr>
        <w:t>2</w:t>
      </w:r>
      <w:r>
        <w:rPr>
          <w:rFonts w:ascii="宋体" w:hAnsi="宋体"/>
          <w:sz w:val="24"/>
        </w:rPr>
        <w:t>k</w:t>
      </w:r>
      <w:r>
        <w:rPr>
          <w:rFonts w:hint="eastAsia" w:ascii="宋体" w:hAnsi="宋体"/>
          <w:sz w:val="24"/>
        </w:rPr>
        <w:t>），下更新统西域组（</w:t>
      </w:r>
      <w:r>
        <w:rPr>
          <w:rFonts w:ascii="宋体" w:hAnsi="宋体"/>
          <w:sz w:val="24"/>
        </w:rPr>
        <w:t>Qp</w:t>
      </w:r>
      <w:r>
        <w:rPr>
          <w:rFonts w:ascii="宋体" w:hAnsi="宋体"/>
          <w:sz w:val="24"/>
          <w:vertAlign w:val="subscript"/>
        </w:rPr>
        <w:t>1</w:t>
      </w:r>
      <w:r>
        <w:rPr>
          <w:rFonts w:ascii="宋体" w:hAnsi="宋体"/>
          <w:sz w:val="24"/>
        </w:rPr>
        <w:t>x</w:t>
      </w:r>
      <w:r>
        <w:rPr>
          <w:rFonts w:hint="eastAsia" w:ascii="宋体" w:hAnsi="宋体"/>
          <w:sz w:val="24"/>
        </w:rPr>
        <w:t>），全新统。</w:t>
      </w:r>
      <w:r>
        <w:rPr>
          <w:rFonts w:ascii="宋体" w:hAnsi="宋体"/>
          <w:sz w:val="24"/>
        </w:rPr>
        <w:t xml:space="preserve">    </w:t>
      </w:r>
    </w:p>
    <w:p>
      <w:pPr>
        <w:spacing w:line="500" w:lineRule="exact"/>
        <w:ind w:firstLine="480" w:firstLineChars="200"/>
        <w:rPr>
          <w:rFonts w:ascii="宋体"/>
          <w:sz w:val="24"/>
        </w:rPr>
      </w:pPr>
      <w:r>
        <w:rPr>
          <w:rFonts w:hint="eastAsia" w:ascii="宋体" w:hAnsi="宋体"/>
          <w:sz w:val="24"/>
        </w:rPr>
        <w:t>中</w:t>
      </w:r>
      <w:r>
        <w:rPr>
          <w:rFonts w:ascii="宋体"/>
          <w:sz w:val="24"/>
        </w:rPr>
        <w:t>-</w:t>
      </w:r>
      <w:r>
        <w:rPr>
          <w:rFonts w:hint="eastAsia" w:ascii="宋体" w:hAnsi="宋体"/>
          <w:sz w:val="24"/>
        </w:rPr>
        <w:t>上新统康村组岩性组合上部为砂岩夹砾岩，下部砂岩夹多层粉砂岩、泥岩条带，该地层为主要含矿地层；上新统库车组岩性组合为砂质泥岩、泥质粉砂岩夹砂岩，砾状砂岩及砾岩。下更新统西域组岩性组合为砾岩、砂砾岩夹砂岩透镜体，下部夹砂质粘土层，该地层为主要含矿地层。全新统岩性组合为各种不同成因类型的松散堆积、沉积物，最主要的是冲积。均为陆内河湖相碎屑岩沉积</w:t>
      </w:r>
      <w:r>
        <w:rPr>
          <w:rFonts w:ascii="宋体" w:hAnsi="宋体"/>
          <w:sz w:val="24"/>
        </w:rPr>
        <w:t>—</w:t>
      </w:r>
      <w:r>
        <w:rPr>
          <w:rFonts w:hint="eastAsia" w:ascii="宋体" w:hAnsi="宋体"/>
          <w:sz w:val="24"/>
        </w:rPr>
        <w:t>河流三角洲相沉。自中</w:t>
      </w:r>
      <w:r>
        <w:rPr>
          <w:rFonts w:ascii="宋体"/>
          <w:sz w:val="24"/>
        </w:rPr>
        <w:t>-</w:t>
      </w:r>
      <w:r>
        <w:rPr>
          <w:rFonts w:hint="eastAsia" w:ascii="宋体" w:hAnsi="宋体"/>
          <w:sz w:val="24"/>
        </w:rPr>
        <w:t>上新统到上新统区域上整个盆地呈上升趋势，逐渐由陆内河湖相碎屑岩沉积转化为河流三角洲相沉。</w:t>
      </w:r>
    </w:p>
    <w:p>
      <w:pPr>
        <w:pStyle w:val="6"/>
        <w:spacing w:after="0" w:line="500" w:lineRule="exact"/>
        <w:ind w:left="0" w:leftChars="0" w:firstLine="480" w:firstLineChars="200"/>
        <w:rPr>
          <w:rFonts w:ascii="宋体" w:hAnsi="宋体"/>
          <w:sz w:val="24"/>
        </w:rPr>
      </w:pPr>
      <w:r>
        <w:rPr>
          <w:rFonts w:hint="eastAsia" w:ascii="宋体" w:hAnsi="宋体"/>
          <w:sz w:val="24"/>
        </w:rPr>
        <w:t>在本工作区内未发现较大规模的构造出现。区内所出露地层呈单斜形式出现</w:t>
      </w:r>
      <w:r>
        <w:rPr>
          <w:rFonts w:ascii="宋体" w:hAnsi="宋体"/>
          <w:sz w:val="24"/>
        </w:rPr>
        <w:t>;</w:t>
      </w:r>
      <w:r>
        <w:rPr>
          <w:rFonts w:hint="eastAsia" w:ascii="宋体" w:hAnsi="宋体"/>
          <w:sz w:val="24"/>
        </w:rPr>
        <w:t>另外出露一逆断层，断层走向为</w:t>
      </w:r>
      <w:r>
        <w:rPr>
          <w:rFonts w:ascii="宋体" w:hAnsi="宋体"/>
          <w:sz w:val="24"/>
        </w:rPr>
        <w:t>85</w:t>
      </w:r>
      <w:r>
        <w:rPr>
          <w:rFonts w:hint="eastAsia" w:ascii="宋体" w:hAnsi="宋体"/>
          <w:sz w:val="24"/>
        </w:rPr>
        <w:t>°</w:t>
      </w:r>
      <w:r>
        <w:rPr>
          <w:rFonts w:ascii="宋体" w:hAnsi="宋体"/>
          <w:sz w:val="24"/>
        </w:rPr>
        <w:t>-95</w:t>
      </w:r>
      <w:r>
        <w:rPr>
          <w:rFonts w:hint="eastAsia" w:ascii="宋体" w:hAnsi="宋体"/>
          <w:sz w:val="24"/>
        </w:rPr>
        <w:t>°北倾，倾角</w:t>
      </w:r>
      <w:r>
        <w:rPr>
          <w:rFonts w:ascii="宋体" w:hAnsi="宋体"/>
          <w:sz w:val="24"/>
        </w:rPr>
        <w:t>50</w:t>
      </w:r>
      <w:r>
        <w:rPr>
          <w:rFonts w:hint="eastAsia" w:ascii="宋体" w:hAnsi="宋体"/>
          <w:sz w:val="24"/>
        </w:rPr>
        <w:t>°</w:t>
      </w:r>
      <w:r>
        <w:rPr>
          <w:rFonts w:ascii="宋体" w:hAnsi="宋体"/>
          <w:sz w:val="24"/>
        </w:rPr>
        <w:t>-60</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（二）矿体地质特征</w:t>
      </w:r>
    </w:p>
    <w:p>
      <w:pPr>
        <w:snapToGrid w:val="0"/>
        <w:spacing w:line="500" w:lineRule="exact"/>
        <w:ind w:firstLine="480" w:firstLineChars="200"/>
        <w:rPr>
          <w:rFonts w:ascii="宋体" w:hAnsi="宋体"/>
          <w:sz w:val="24"/>
        </w:rPr>
      </w:pPr>
      <w:r>
        <w:rPr>
          <w:rFonts w:hint="eastAsia" w:ascii="宋体" w:hAnsi="宋体"/>
          <w:sz w:val="24"/>
        </w:rPr>
        <w:t>克孜勒铜矿点，矿点发现孔雀石化蚀变</w:t>
      </w:r>
      <w:r>
        <w:rPr>
          <w:rFonts w:ascii="宋体" w:hAnsi="宋体"/>
          <w:sz w:val="24"/>
        </w:rPr>
        <w:t>5</w:t>
      </w:r>
      <w:r>
        <w:rPr>
          <w:rFonts w:hint="eastAsia" w:ascii="宋体" w:hAnsi="宋体"/>
          <w:sz w:val="24"/>
        </w:rPr>
        <w:t>条，矿化不均匀，呈星点状，地表见矿不连续，铜含量</w:t>
      </w:r>
      <w:r>
        <w:rPr>
          <w:rFonts w:ascii="宋体" w:hAnsi="宋体"/>
          <w:sz w:val="24"/>
        </w:rPr>
        <w:t>0.3%</w:t>
      </w:r>
      <w:r>
        <w:rPr>
          <w:rFonts w:hint="eastAsia" w:ascii="宋体" w:hAnsi="宋体"/>
          <w:sz w:val="24"/>
        </w:rPr>
        <w:t>为边界品位，圈出矿化体</w:t>
      </w:r>
      <w:r>
        <w:rPr>
          <w:rFonts w:ascii="宋体" w:hAnsi="宋体"/>
          <w:sz w:val="24"/>
        </w:rPr>
        <w:t>1</w:t>
      </w:r>
      <w:r>
        <w:rPr>
          <w:rFonts w:hint="eastAsia" w:ascii="宋体" w:hAnsi="宋体"/>
          <w:sz w:val="24"/>
        </w:rPr>
        <w:t>条，长</w:t>
      </w:r>
      <w:r>
        <w:rPr>
          <w:rFonts w:ascii="宋体" w:hAnsi="宋体"/>
          <w:sz w:val="24"/>
        </w:rPr>
        <w:t>200m</w:t>
      </w:r>
      <w:r>
        <w:rPr>
          <w:rFonts w:hint="eastAsia" w:ascii="宋体" w:hAnsi="宋体"/>
          <w:sz w:val="24"/>
        </w:rPr>
        <w:t>，宽</w:t>
      </w:r>
      <w:r>
        <w:rPr>
          <w:rFonts w:ascii="宋体" w:hAnsi="宋体"/>
          <w:sz w:val="24"/>
        </w:rPr>
        <w:t>20-80cm</w:t>
      </w:r>
      <w:r>
        <w:rPr>
          <w:rFonts w:hint="eastAsia" w:ascii="宋体" w:hAnsi="宋体"/>
          <w:sz w:val="24"/>
        </w:rPr>
        <w:t>，局部大于</w:t>
      </w:r>
      <w:r>
        <w:rPr>
          <w:rFonts w:ascii="宋体" w:hAnsi="宋体"/>
          <w:sz w:val="24"/>
        </w:rPr>
        <w:t>1m</w:t>
      </w:r>
      <w:r>
        <w:rPr>
          <w:rFonts w:hint="eastAsia" w:ascii="宋体" w:hAnsi="宋体"/>
          <w:sz w:val="24"/>
        </w:rPr>
        <w:t>，铜含量</w:t>
      </w:r>
      <w:r>
        <w:rPr>
          <w:rFonts w:ascii="宋体" w:hAnsi="宋体"/>
          <w:sz w:val="24"/>
        </w:rPr>
        <w:t>0.37%</w:t>
      </w:r>
      <w:r>
        <w:rPr>
          <w:rFonts w:hint="eastAsia" w:ascii="宋体" w:hAnsi="宋体"/>
          <w:sz w:val="24"/>
        </w:rPr>
        <w:t>，矿化体厚度为</w:t>
      </w:r>
      <w:r>
        <w:rPr>
          <w:rFonts w:ascii="宋体" w:hAnsi="宋体"/>
          <w:sz w:val="24"/>
        </w:rPr>
        <w:t>0.2</w:t>
      </w:r>
      <w:r>
        <w:rPr>
          <w:rFonts w:hint="eastAsia" w:ascii="宋体" w:hAnsi="宋体"/>
          <w:sz w:val="24"/>
        </w:rPr>
        <w:t>-</w:t>
      </w:r>
      <w:r>
        <w:rPr>
          <w:rFonts w:ascii="宋体" w:hAnsi="宋体"/>
          <w:sz w:val="24"/>
        </w:rPr>
        <w:t>0.4m</w:t>
      </w:r>
      <w:r>
        <w:rPr>
          <w:rFonts w:hint="eastAsia" w:ascii="宋体" w:hAnsi="宋体"/>
          <w:sz w:val="24"/>
        </w:rPr>
        <w:t>，极个别地段为</w:t>
      </w:r>
      <w:r>
        <w:rPr>
          <w:rFonts w:ascii="宋体" w:hAnsi="宋体"/>
          <w:sz w:val="24"/>
        </w:rPr>
        <w:t>1m</w:t>
      </w:r>
      <w:r>
        <w:rPr>
          <w:rFonts w:hint="eastAsia" w:ascii="宋体" w:hAnsi="宋体"/>
          <w:sz w:val="24"/>
        </w:rPr>
        <w:t>。矿体走向稳定，走向</w:t>
      </w:r>
      <w:r>
        <w:rPr>
          <w:rFonts w:ascii="宋体" w:hAnsi="宋体"/>
          <w:sz w:val="24"/>
        </w:rPr>
        <w:t>90</w:t>
      </w:r>
      <w:r>
        <w:rPr>
          <w:rFonts w:hint="eastAsia" w:ascii="宋体" w:hAnsi="宋体"/>
          <w:sz w:val="24"/>
        </w:rPr>
        <w:t>°-</w:t>
      </w:r>
      <w:r>
        <w:rPr>
          <w:rFonts w:ascii="宋体" w:hAnsi="宋体"/>
          <w:sz w:val="24"/>
        </w:rPr>
        <w:t>100</w:t>
      </w:r>
      <w:r>
        <w:rPr>
          <w:rFonts w:hint="eastAsia" w:ascii="宋体" w:hAnsi="宋体"/>
          <w:sz w:val="24"/>
        </w:rPr>
        <w:t>°，针对以</w:t>
      </w:r>
      <w:r>
        <w:rPr>
          <w:rFonts w:ascii="宋体" w:hAnsi="宋体"/>
          <w:sz w:val="24"/>
        </w:rPr>
        <w:t>KH1</w:t>
      </w:r>
      <w:r>
        <w:rPr>
          <w:rFonts w:hint="eastAsia" w:ascii="宋体" w:hAnsi="宋体"/>
          <w:sz w:val="24"/>
        </w:rPr>
        <w:t>施工了</w:t>
      </w:r>
      <w:r>
        <w:rPr>
          <w:rFonts w:ascii="宋体" w:hAnsi="宋体"/>
          <w:sz w:val="24"/>
        </w:rPr>
        <w:t>CZK001</w:t>
      </w:r>
      <w:r>
        <w:rPr>
          <w:rFonts w:hint="eastAsia" w:ascii="宋体" w:hAnsi="宋体"/>
          <w:sz w:val="24"/>
        </w:rPr>
        <w:t>，深部未见矿。</w:t>
      </w:r>
    </w:p>
    <w:p>
      <w:pPr>
        <w:spacing w:line="500" w:lineRule="exact"/>
        <w:ind w:firstLine="480" w:firstLineChars="200"/>
        <w:rPr>
          <w:rFonts w:ascii="宋体" w:hAnsi="宋体"/>
          <w:sz w:val="24"/>
        </w:rPr>
      </w:pPr>
      <w:r>
        <w:rPr>
          <w:rFonts w:ascii="宋体" w:hAnsi="宋体"/>
          <w:sz w:val="24"/>
        </w:rPr>
        <w:t>3.</w:t>
      </w:r>
      <w:r>
        <w:rPr>
          <w:rFonts w:hint="eastAsia" w:ascii="宋体" w:hAnsi="宋体"/>
          <w:sz w:val="24"/>
        </w:rPr>
        <w:t>矿床成因及找矿标志</w:t>
      </w:r>
    </w:p>
    <w:p>
      <w:pPr>
        <w:pStyle w:val="6"/>
        <w:spacing w:after="0" w:line="500" w:lineRule="exact"/>
        <w:ind w:left="0" w:leftChars="0" w:firstLine="480" w:firstLineChars="200"/>
        <w:rPr>
          <w:rFonts w:ascii="宋体"/>
          <w:sz w:val="24"/>
        </w:rPr>
      </w:pPr>
      <w:r>
        <w:rPr>
          <w:rFonts w:hint="eastAsia" w:ascii="宋体" w:hAnsi="宋体"/>
          <w:sz w:val="24"/>
        </w:rPr>
        <w:t>该矿点矿体呈层状分布在距塔里木古陆块附近，水体不太深的中新生界小型盆地内，盆地相对稳定并长期接受陆源物质的沉积。在炎热干旱气候和氧化条件下形成了厚度较大的紫红色泥岩层及蒸发岩（石膏层），由于胶体和粘土吸附等作用形成了铜质初步聚集。</w:t>
      </w:r>
    </w:p>
    <w:p>
      <w:pPr>
        <w:spacing w:line="500" w:lineRule="exact"/>
        <w:ind w:firstLine="480" w:firstLineChars="200"/>
        <w:rPr>
          <w:rFonts w:ascii="宋体"/>
          <w:sz w:val="24"/>
        </w:rPr>
      </w:pPr>
      <w:r>
        <w:rPr>
          <w:rFonts w:hint="eastAsia" w:ascii="宋体" w:hAnsi="宋体"/>
          <w:sz w:val="24"/>
        </w:rPr>
        <w:t>在成岩期由于有机质及厌氧细菌的作用，形成局部还原环境。层间水和孔隙水不断萃取下伏的或侧向上紧邻的矿源层中的铜质，在渗透性较好的砂岩中富集成矿。因此应属于沉积成岩</w:t>
      </w:r>
      <w:r>
        <w:rPr>
          <w:rFonts w:ascii="宋体"/>
          <w:sz w:val="24"/>
        </w:rPr>
        <w:t>-</w:t>
      </w:r>
      <w:r>
        <w:rPr>
          <w:rFonts w:hint="eastAsia" w:ascii="宋体" w:hAnsi="宋体"/>
          <w:sz w:val="24"/>
        </w:rPr>
        <w:t>改造成因的砂岩型铜矿床。</w:t>
      </w:r>
    </w:p>
    <w:p>
      <w:pPr>
        <w:spacing w:line="500" w:lineRule="exact"/>
        <w:ind w:firstLine="480" w:firstLineChars="200"/>
        <w:rPr>
          <w:rFonts w:ascii="宋体"/>
          <w:sz w:val="24"/>
        </w:rPr>
      </w:pPr>
      <w:r>
        <w:rPr>
          <w:rFonts w:hint="eastAsia" w:ascii="宋体" w:hAnsi="宋体"/>
          <w:sz w:val="24"/>
        </w:rPr>
        <w:t>找矿标志：</w:t>
      </w:r>
    </w:p>
    <w:p>
      <w:pPr>
        <w:spacing w:line="500" w:lineRule="exact"/>
        <w:ind w:firstLine="480" w:firstLineChars="200"/>
        <w:rPr>
          <w:rFonts w:ascii="宋体"/>
          <w:sz w:val="24"/>
        </w:rPr>
      </w:pPr>
      <w:r>
        <w:rPr>
          <w:rFonts w:ascii="宋体" w:hAnsi="宋体"/>
          <w:sz w:val="24"/>
        </w:rPr>
        <w:t>1</w:t>
      </w:r>
      <w:r>
        <w:rPr>
          <w:rFonts w:hint="eastAsia" w:ascii="宋体" w:hAnsi="宋体"/>
          <w:sz w:val="24"/>
        </w:rPr>
        <w:t>、时代标志：沉积砂岩铜矿的形成具有明显的时代专属性，主要聚铜期为上第三系中</w:t>
      </w:r>
      <w:r>
        <w:rPr>
          <w:rFonts w:ascii="宋体" w:hAnsi="宋体"/>
          <w:sz w:val="24"/>
        </w:rPr>
        <w:t>—</w:t>
      </w:r>
      <w:r>
        <w:rPr>
          <w:rFonts w:hint="eastAsia" w:ascii="宋体" w:hAnsi="宋体"/>
          <w:sz w:val="24"/>
        </w:rPr>
        <w:t>上新统康村组。</w:t>
      </w:r>
    </w:p>
    <w:p>
      <w:pPr>
        <w:spacing w:line="500" w:lineRule="exact"/>
        <w:ind w:firstLine="480" w:firstLineChars="200"/>
        <w:rPr>
          <w:rFonts w:ascii="宋体"/>
          <w:sz w:val="24"/>
        </w:rPr>
      </w:pPr>
      <w:r>
        <w:rPr>
          <w:rFonts w:ascii="宋体" w:hAnsi="宋体"/>
          <w:sz w:val="24"/>
        </w:rPr>
        <w:t>2</w:t>
      </w:r>
      <w:r>
        <w:rPr>
          <w:rFonts w:hint="eastAsia" w:ascii="宋体" w:hAnsi="宋体"/>
          <w:sz w:val="24"/>
        </w:rPr>
        <w:t>、岩性标志：铜矿化主要在</w:t>
      </w:r>
      <w:r>
        <w:rPr>
          <w:rFonts w:ascii="宋体" w:hAnsi="宋体"/>
          <w:sz w:val="24"/>
        </w:rPr>
        <w:t>N</w:t>
      </w:r>
      <w:r>
        <w:rPr>
          <w:rFonts w:ascii="宋体" w:hAnsi="宋体"/>
          <w:sz w:val="24"/>
          <w:vertAlign w:val="subscript"/>
        </w:rPr>
        <w:t>1-2</w:t>
      </w:r>
      <w:r>
        <w:rPr>
          <w:rFonts w:ascii="宋体" w:hAnsi="宋体"/>
          <w:sz w:val="24"/>
        </w:rPr>
        <w:t>k</w:t>
      </w:r>
      <w:r>
        <w:rPr>
          <w:rFonts w:hint="eastAsia" w:ascii="宋体" w:hAnsi="宋体"/>
          <w:sz w:val="24"/>
        </w:rPr>
        <w:t>下部浅黄灰绿色</w:t>
      </w:r>
      <w:r>
        <w:rPr>
          <w:rFonts w:ascii="宋体"/>
          <w:sz w:val="24"/>
        </w:rPr>
        <w:t>-</w:t>
      </w:r>
      <w:r>
        <w:rPr>
          <w:rFonts w:hint="eastAsia" w:ascii="宋体" w:hAnsi="宋体"/>
          <w:sz w:val="24"/>
        </w:rPr>
        <w:t>褐红色中细粒砂岩中富集，常形成铜矿化。因此</w:t>
      </w:r>
      <w:r>
        <w:rPr>
          <w:rFonts w:ascii="宋体" w:hAnsi="宋体"/>
          <w:sz w:val="24"/>
        </w:rPr>
        <w:t>N</w:t>
      </w:r>
      <w:r>
        <w:rPr>
          <w:rFonts w:ascii="宋体" w:hAnsi="宋体"/>
          <w:sz w:val="24"/>
          <w:vertAlign w:val="subscript"/>
        </w:rPr>
        <w:t>1-2</w:t>
      </w:r>
      <w:r>
        <w:rPr>
          <w:rFonts w:ascii="宋体" w:hAnsi="宋体"/>
          <w:sz w:val="24"/>
        </w:rPr>
        <w:t>k</w:t>
      </w:r>
      <w:r>
        <w:rPr>
          <w:rFonts w:hint="eastAsia" w:ascii="宋体" w:hAnsi="宋体"/>
          <w:sz w:val="24"/>
        </w:rPr>
        <w:t>下部浅黄灰绿色</w:t>
      </w:r>
      <w:r>
        <w:rPr>
          <w:rFonts w:ascii="宋体"/>
          <w:sz w:val="24"/>
        </w:rPr>
        <w:t>-</w:t>
      </w:r>
      <w:r>
        <w:rPr>
          <w:rFonts w:hint="eastAsia" w:ascii="宋体" w:hAnsi="宋体"/>
          <w:sz w:val="24"/>
        </w:rPr>
        <w:t>褐红色中细粒砂岩可做为找矿标志。</w:t>
      </w:r>
    </w:p>
    <w:p>
      <w:pPr>
        <w:spacing w:line="500" w:lineRule="exact"/>
        <w:ind w:firstLine="480" w:firstLineChars="200"/>
        <w:rPr>
          <w:rFonts w:ascii="宋体"/>
          <w:sz w:val="24"/>
        </w:rPr>
      </w:pPr>
      <w:r>
        <w:rPr>
          <w:rFonts w:ascii="宋体" w:hAnsi="宋体"/>
          <w:sz w:val="24"/>
        </w:rPr>
        <w:t>3</w:t>
      </w:r>
      <w:r>
        <w:rPr>
          <w:rFonts w:hint="eastAsia" w:ascii="宋体" w:hAnsi="宋体"/>
          <w:sz w:val="24"/>
        </w:rPr>
        <w:t>、矿化标志：矿区内地表矿石氧化后，金属矿物主要为次生孔雀石，呈翠绿色，呈星点状、团块状、薄膜状，其含量的多少与铜品位高低呈正相关，因此孔雀石分布特征可作为直接找矿标志。</w:t>
      </w:r>
    </w:p>
    <w:p>
      <w:pPr>
        <w:pStyle w:val="6"/>
        <w:spacing w:after="0" w:line="500" w:lineRule="exact"/>
        <w:ind w:left="0" w:leftChars="0" w:firstLine="480" w:firstLineChars="200"/>
        <w:rPr>
          <w:rFonts w:ascii="宋体"/>
          <w:sz w:val="24"/>
        </w:rPr>
      </w:pPr>
      <w:r>
        <w:rPr>
          <w:rFonts w:ascii="宋体" w:hAnsi="宋体"/>
          <w:sz w:val="24"/>
        </w:rPr>
        <w:t>4</w:t>
      </w:r>
      <w:r>
        <w:rPr>
          <w:rFonts w:hint="eastAsia" w:ascii="宋体" w:hAnsi="宋体"/>
          <w:sz w:val="24"/>
        </w:rPr>
        <w:t>、物化探异常高值区可做间接找矿标志。</w:t>
      </w:r>
    </w:p>
    <w:p>
      <w:pPr>
        <w:spacing w:line="500" w:lineRule="exact"/>
        <w:rPr>
          <w:rFonts w:ascii="仿宋" w:hAnsi="仿宋" w:eastAsia="仿宋"/>
          <w:b/>
          <w:sz w:val="28"/>
          <w:szCs w:val="28"/>
        </w:rPr>
      </w:pPr>
      <w:r>
        <w:rPr>
          <w:rFonts w:hint="eastAsia" w:ascii="仿宋" w:hAnsi="仿宋" w:eastAsia="仿宋"/>
          <w:b/>
          <w:sz w:val="28"/>
          <w:szCs w:val="28"/>
        </w:rPr>
        <w:t>三、勘查程度</w:t>
      </w:r>
    </w:p>
    <w:p>
      <w:pPr>
        <w:spacing w:line="500" w:lineRule="exact"/>
        <w:ind w:firstLine="480" w:firstLineChars="200"/>
        <w:rPr>
          <w:rFonts w:hint="eastAsia" w:ascii="仿宋" w:hAnsi="仿宋" w:eastAsia="仿宋"/>
          <w:b/>
          <w:sz w:val="28"/>
          <w:szCs w:val="28"/>
        </w:rPr>
      </w:pPr>
      <w:r>
        <w:rPr>
          <w:rFonts w:hint="eastAsia" w:ascii="宋体" w:hAnsi="宋体"/>
          <w:sz w:val="24"/>
        </w:rPr>
        <w:t>工作区块勘查程度为地质预查。</w:t>
      </w:r>
    </w:p>
    <w:p>
      <w:pPr>
        <w:spacing w:line="500" w:lineRule="exact"/>
        <w:rPr>
          <w:rFonts w:hint="eastAsia" w:ascii="仿宋" w:hAnsi="仿宋" w:eastAsia="仿宋"/>
          <w:b/>
          <w:sz w:val="28"/>
          <w:szCs w:val="28"/>
          <w:lang w:eastAsia="zh-CN"/>
        </w:rPr>
      </w:pPr>
      <w:r>
        <w:rPr>
          <w:rFonts w:hint="eastAsia" w:ascii="仿宋" w:hAnsi="仿宋" w:eastAsia="仿宋"/>
          <w:b/>
          <w:sz w:val="28"/>
          <w:szCs w:val="28"/>
          <w:lang w:eastAsia="zh-CN"/>
        </w:rPr>
        <w:t>四、资源量</w:t>
      </w:r>
    </w:p>
    <w:p>
      <w:pPr>
        <w:spacing w:line="500" w:lineRule="exact"/>
        <w:ind w:firstLine="480" w:firstLineChars="200"/>
        <w:rPr>
          <w:rFonts w:hint="eastAsia" w:ascii="宋体" w:hAnsi="宋体"/>
          <w:sz w:val="24"/>
          <w:lang w:eastAsia="zh-CN"/>
        </w:rPr>
      </w:pPr>
      <w:r>
        <w:rPr>
          <w:rFonts w:hint="eastAsia" w:ascii="宋体" w:hAnsi="宋体"/>
          <w:sz w:val="24"/>
          <w:lang w:eastAsia="zh-CN"/>
        </w:rPr>
        <w:t>未估算资源量。</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sectPr>
          <w:headerReference r:id="rId3" w:type="default"/>
          <w:pgSz w:w="11906" w:h="16838"/>
          <w:pgMar w:top="1440" w:right="1800" w:bottom="1440" w:left="1800" w:header="851" w:footer="992" w:gutter="0"/>
          <w:cols w:space="425" w:num="1"/>
          <w:docGrid w:type="lines" w:linePitch="312" w:charSpace="0"/>
        </w:sectPr>
      </w:pPr>
    </w:p>
    <w:bookmarkEnd w:id="0"/>
    <w:bookmarkEnd w:id="1"/>
    <w:p>
      <w:pPr>
        <w:rPr>
          <w:rFonts w:hint="eastAsia" w:ascii="仿宋" w:hAnsi="仿宋" w:eastAsia="仿宋"/>
          <w:sz w:val="28"/>
          <w:szCs w:val="28"/>
          <w:lang w:eastAsia="zh-CN"/>
        </w:rPr>
      </w:pPr>
      <w:r>
        <w:rPr>
          <w:rFonts w:hint="eastAsia" w:ascii="仿宋" w:hAnsi="仿宋" w:eastAsia="仿宋"/>
          <w:sz w:val="28"/>
          <w:szCs w:val="28"/>
          <w:lang w:eastAsia="zh-CN"/>
        </w:rPr>
        <w:pict>
          <v:shape id="_x0000_i1025" o:spt="75" alt="C" type="#_x0000_t75" style="height:475.65pt;width:528.65pt;" filled="f" o:preferrelative="t" stroked="f" coordsize="21600,21600">
            <v:path/>
            <v:fill on="f" focussize="0,0"/>
            <v:stroke on="f"/>
            <v:imagedata r:id="rId6" cropleft="15338f" croptop="-421f" cropright="17442f" o:title="C"/>
            <o:lock v:ext="edit" aspectratio="t"/>
            <w10:wrap type="none"/>
            <w10:anchorlock/>
          </v:shape>
        </w:pict>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63AD"/>
    <w:rsid w:val="000C31AA"/>
    <w:rsid w:val="00123430"/>
    <w:rsid w:val="00133729"/>
    <w:rsid w:val="0014015F"/>
    <w:rsid w:val="001746FC"/>
    <w:rsid w:val="001A20BC"/>
    <w:rsid w:val="001B7BAB"/>
    <w:rsid w:val="003353EC"/>
    <w:rsid w:val="0036205D"/>
    <w:rsid w:val="00381A01"/>
    <w:rsid w:val="0039766B"/>
    <w:rsid w:val="00451657"/>
    <w:rsid w:val="004A3174"/>
    <w:rsid w:val="00540BEC"/>
    <w:rsid w:val="00606C8F"/>
    <w:rsid w:val="006253FB"/>
    <w:rsid w:val="00634CD3"/>
    <w:rsid w:val="00641667"/>
    <w:rsid w:val="00653F62"/>
    <w:rsid w:val="006B7EE7"/>
    <w:rsid w:val="006C4554"/>
    <w:rsid w:val="006F5492"/>
    <w:rsid w:val="00731932"/>
    <w:rsid w:val="00770E6D"/>
    <w:rsid w:val="007F2F70"/>
    <w:rsid w:val="007F75C2"/>
    <w:rsid w:val="00867D32"/>
    <w:rsid w:val="00891464"/>
    <w:rsid w:val="008C4E2B"/>
    <w:rsid w:val="008D58FD"/>
    <w:rsid w:val="00900FA3"/>
    <w:rsid w:val="009014CB"/>
    <w:rsid w:val="00952E5D"/>
    <w:rsid w:val="009840D0"/>
    <w:rsid w:val="00990EF5"/>
    <w:rsid w:val="00995118"/>
    <w:rsid w:val="009F11BD"/>
    <w:rsid w:val="00B45973"/>
    <w:rsid w:val="00B96933"/>
    <w:rsid w:val="00B96EBE"/>
    <w:rsid w:val="00CA3163"/>
    <w:rsid w:val="00CE42ED"/>
    <w:rsid w:val="00D96EA8"/>
    <w:rsid w:val="00DB210F"/>
    <w:rsid w:val="00E1179E"/>
    <w:rsid w:val="00EF0E20"/>
    <w:rsid w:val="00F86C93"/>
    <w:rsid w:val="00FA11D0"/>
    <w:rsid w:val="07367A6E"/>
    <w:rsid w:val="078B152C"/>
    <w:rsid w:val="088F6918"/>
    <w:rsid w:val="08C970D9"/>
    <w:rsid w:val="09114226"/>
    <w:rsid w:val="0CC971F3"/>
    <w:rsid w:val="0E2E3E09"/>
    <w:rsid w:val="0E6C09BD"/>
    <w:rsid w:val="20A62772"/>
    <w:rsid w:val="213928E6"/>
    <w:rsid w:val="25AC72AE"/>
    <w:rsid w:val="2632466E"/>
    <w:rsid w:val="26E72E66"/>
    <w:rsid w:val="27894454"/>
    <w:rsid w:val="28D544DA"/>
    <w:rsid w:val="29730DE6"/>
    <w:rsid w:val="2AA02450"/>
    <w:rsid w:val="325D3843"/>
    <w:rsid w:val="326A6303"/>
    <w:rsid w:val="33CF6171"/>
    <w:rsid w:val="370E01F3"/>
    <w:rsid w:val="387E2324"/>
    <w:rsid w:val="391A5B3F"/>
    <w:rsid w:val="3C82083F"/>
    <w:rsid w:val="3E200581"/>
    <w:rsid w:val="3EB0097F"/>
    <w:rsid w:val="403B2F46"/>
    <w:rsid w:val="40737D02"/>
    <w:rsid w:val="46E5716D"/>
    <w:rsid w:val="47F2579E"/>
    <w:rsid w:val="48D606E3"/>
    <w:rsid w:val="495A4467"/>
    <w:rsid w:val="4CAA45BF"/>
    <w:rsid w:val="4CCB45A4"/>
    <w:rsid w:val="50952EB5"/>
    <w:rsid w:val="51670705"/>
    <w:rsid w:val="58033D1E"/>
    <w:rsid w:val="5AE77151"/>
    <w:rsid w:val="5F4C2F06"/>
    <w:rsid w:val="60117DDB"/>
    <w:rsid w:val="66636EF2"/>
    <w:rsid w:val="6EE723C9"/>
    <w:rsid w:val="72435174"/>
    <w:rsid w:val="73F76A43"/>
    <w:rsid w:val="77E415D7"/>
    <w:rsid w:val="7AF60EC2"/>
    <w:rsid w:val="7E313B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99"/>
    <w:pPr>
      <w:keepNext/>
      <w:keepLines/>
      <w:spacing w:before="260" w:after="260" w:line="416" w:lineRule="auto"/>
      <w:outlineLvl w:val="2"/>
    </w:pPr>
    <w:rPr>
      <w:b/>
      <w:bCs/>
      <w:sz w:val="32"/>
      <w:szCs w:val="32"/>
    </w:rPr>
  </w:style>
  <w:style w:type="paragraph" w:styleId="3">
    <w:name w:val="heading 4"/>
    <w:basedOn w:val="1"/>
    <w:next w:val="4"/>
    <w:link w:val="15"/>
    <w:qFormat/>
    <w:uiPriority w:val="99"/>
    <w:pPr>
      <w:keepNext/>
      <w:keepLines/>
      <w:spacing w:before="280" w:after="290" w:line="376" w:lineRule="auto"/>
      <w:outlineLvl w:val="3"/>
    </w:pPr>
    <w:rPr>
      <w:rFonts w:ascii="Arial" w:hAnsi="Arial" w:eastAsia="黑体"/>
      <w:b/>
      <w:sz w:val="28"/>
      <w:szCs w:val="20"/>
    </w:rPr>
  </w:style>
  <w:style w:type="paragraph" w:styleId="5">
    <w:name w:val="heading 5"/>
    <w:basedOn w:val="1"/>
    <w:next w:val="1"/>
    <w:link w:val="16"/>
    <w:qFormat/>
    <w:uiPriority w:val="99"/>
    <w:pPr>
      <w:keepNext/>
      <w:keepLines/>
      <w:snapToGrid w:val="0"/>
      <w:spacing w:before="280" w:after="290" w:line="374" w:lineRule="auto"/>
      <w:ind w:firstLine="200" w:firstLineChars="200"/>
      <w:outlineLvl w:val="4"/>
    </w:pPr>
    <w:rPr>
      <w:rFonts w:ascii="仿宋_GB2312" w:hAnsi="华文仿宋" w:eastAsia="仿宋_GB2312" w:cs="Arial Unicode MS"/>
      <w:b/>
      <w:bCs/>
      <w:spacing w:val="4"/>
      <w:kern w:val="0"/>
      <w:sz w:val="28"/>
      <w:szCs w:val="28"/>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99"/>
    <w:pPr>
      <w:spacing w:line="300" w:lineRule="auto"/>
      <w:ind w:firstLine="482"/>
    </w:pPr>
    <w:rPr>
      <w:rFonts w:eastAsia="楷体_GB2312"/>
      <w:b/>
      <w:bCs/>
      <w:sz w:val="24"/>
    </w:rPr>
  </w:style>
  <w:style w:type="paragraph" w:styleId="6">
    <w:name w:val="Body Text Indent"/>
    <w:basedOn w:val="1"/>
    <w:link w:val="17"/>
    <w:qFormat/>
    <w:uiPriority w:val="99"/>
    <w:pPr>
      <w:spacing w:after="120"/>
      <w:ind w:left="420" w:leftChars="200"/>
    </w:pPr>
  </w:style>
  <w:style w:type="paragraph" w:styleId="7">
    <w:name w:val="Body Text Indent 2"/>
    <w:basedOn w:val="1"/>
    <w:link w:val="18"/>
    <w:qFormat/>
    <w:uiPriority w:val="99"/>
    <w:pPr>
      <w:spacing w:line="400" w:lineRule="exact"/>
      <w:ind w:firstLine="504"/>
    </w:pPr>
    <w:rPr>
      <w:rFonts w:ascii="仿宋_GB2312" w:hAnsi="宋体" w:eastAsia="仿宋_GB2312"/>
      <w:sz w:val="2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9"/>
    <w:qFormat/>
    <w:uiPriority w:val="99"/>
    <w:pPr>
      <w:ind w:firstLine="560" w:firstLineChars="200"/>
    </w:pPr>
    <w:rPr>
      <w:rFonts w:ascii="仿宋_GB2312" w:hAnsi="宋体" w:eastAsia="仿宋_GB2312"/>
      <w:sz w:val="28"/>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3 Char"/>
    <w:basedOn w:val="13"/>
    <w:link w:val="2"/>
    <w:semiHidden/>
    <w:qFormat/>
    <w:locked/>
    <w:uiPriority w:val="99"/>
    <w:rPr>
      <w:rFonts w:cs="Times New Roman"/>
      <w:b/>
      <w:bCs/>
      <w:sz w:val="32"/>
      <w:szCs w:val="32"/>
    </w:rPr>
  </w:style>
  <w:style w:type="character" w:customStyle="1" w:styleId="15">
    <w:name w:val="标题 4 Char"/>
    <w:basedOn w:val="13"/>
    <w:link w:val="3"/>
    <w:semiHidden/>
    <w:qFormat/>
    <w:locked/>
    <w:uiPriority w:val="99"/>
    <w:rPr>
      <w:rFonts w:ascii="Cambria" w:hAnsi="Cambria" w:eastAsia="宋体" w:cs="Times New Roman"/>
      <w:b/>
      <w:bCs/>
      <w:sz w:val="28"/>
      <w:szCs w:val="28"/>
    </w:rPr>
  </w:style>
  <w:style w:type="character" w:customStyle="1" w:styleId="16">
    <w:name w:val="标题 5 Char"/>
    <w:basedOn w:val="13"/>
    <w:link w:val="5"/>
    <w:semiHidden/>
    <w:qFormat/>
    <w:locked/>
    <w:uiPriority w:val="99"/>
    <w:rPr>
      <w:rFonts w:cs="Times New Roman"/>
      <w:b/>
      <w:bCs/>
      <w:sz w:val="28"/>
      <w:szCs w:val="28"/>
    </w:rPr>
  </w:style>
  <w:style w:type="character" w:customStyle="1" w:styleId="17">
    <w:name w:val="正文文本缩进 Char"/>
    <w:basedOn w:val="13"/>
    <w:link w:val="6"/>
    <w:semiHidden/>
    <w:qFormat/>
    <w:locked/>
    <w:uiPriority w:val="99"/>
    <w:rPr>
      <w:rFonts w:eastAsia="宋体" w:cs="Times New Roman"/>
      <w:kern w:val="2"/>
      <w:sz w:val="24"/>
      <w:szCs w:val="24"/>
      <w:lang w:val="en-US" w:eastAsia="zh-CN" w:bidi="ar-SA"/>
    </w:rPr>
  </w:style>
  <w:style w:type="character" w:customStyle="1" w:styleId="18">
    <w:name w:val="正文文本缩进 2 Char"/>
    <w:basedOn w:val="13"/>
    <w:link w:val="7"/>
    <w:semiHidden/>
    <w:qFormat/>
    <w:locked/>
    <w:uiPriority w:val="99"/>
    <w:rPr>
      <w:rFonts w:cs="Times New Roman"/>
      <w:sz w:val="24"/>
      <w:szCs w:val="24"/>
    </w:rPr>
  </w:style>
  <w:style w:type="character" w:customStyle="1" w:styleId="19">
    <w:name w:val="正文文本缩进 3 Char"/>
    <w:basedOn w:val="13"/>
    <w:link w:val="10"/>
    <w:semiHidden/>
    <w:qFormat/>
    <w:locked/>
    <w:uiPriority w:val="99"/>
    <w:rPr>
      <w:rFonts w:cs="Times New Roman"/>
      <w:sz w:val="16"/>
      <w:szCs w:val="16"/>
    </w:rPr>
  </w:style>
  <w:style w:type="paragraph" w:customStyle="1" w:styleId="20">
    <w:name w:val="哈密正文"/>
    <w:basedOn w:val="21"/>
    <w:qFormat/>
    <w:uiPriority w:val="99"/>
    <w:pPr>
      <w:widowControl w:val="0"/>
      <w:spacing w:afterLines="0" w:line="360" w:lineRule="auto"/>
      <w:ind w:firstLine="200" w:firstLineChars="200"/>
      <w:jc w:val="both"/>
    </w:pPr>
    <w:rPr>
      <w:b w:val="0"/>
      <w:sz w:val="24"/>
    </w:rPr>
  </w:style>
  <w:style w:type="paragraph" w:customStyle="1" w:styleId="21">
    <w:name w:val="表标题"/>
    <w:next w:val="1"/>
    <w:qFormat/>
    <w:uiPriority w:val="99"/>
    <w:pPr>
      <w:spacing w:afterLines="50"/>
      <w:jc w:val="center"/>
    </w:pPr>
    <w:rPr>
      <w:rFonts w:ascii="宋体" w:hAnsi="宋体" w:eastAsia="宋体" w:cs="Times New Roman"/>
      <w:b/>
      <w:kern w:val="2"/>
      <w:sz w:val="21"/>
      <w:szCs w:val="32"/>
      <w:lang w:val="en-US" w:eastAsia="zh-CN" w:bidi="ar-SA"/>
    </w:rPr>
  </w:style>
  <w:style w:type="character" w:customStyle="1" w:styleId="22">
    <w:name w:val="页眉 Char"/>
    <w:basedOn w:val="13"/>
    <w:link w:val="9"/>
    <w:semiHidden/>
    <w:qFormat/>
    <w:locked/>
    <w:uiPriority w:val="99"/>
    <w:rPr>
      <w:rFonts w:cs="Times New Roman"/>
      <w:sz w:val="18"/>
      <w:szCs w:val="18"/>
    </w:rPr>
  </w:style>
  <w:style w:type="character" w:customStyle="1" w:styleId="23">
    <w:name w:val="页脚 Char"/>
    <w:basedOn w:val="13"/>
    <w:link w:val="8"/>
    <w:semiHidden/>
    <w:qFormat/>
    <w:locked/>
    <w:uiPriority w:val="99"/>
    <w:rPr>
      <w:rFonts w:cs="Times New Roman"/>
      <w:sz w:val="18"/>
      <w:szCs w:val="18"/>
    </w:rPr>
  </w:style>
  <w:style w:type="paragraph" w:customStyle="1" w:styleId="24">
    <w:name w:val="Char Char1"/>
    <w:basedOn w:val="1"/>
    <w:semiHidden/>
    <w:qFormat/>
    <w:uiPriority w:val="99"/>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277</Words>
  <Characters>1582</Characters>
  <Lines>13</Lines>
  <Paragraphs>3</Paragraphs>
  <TotalTime>2</TotalTime>
  <ScaleCrop>false</ScaleCrop>
  <LinksUpToDate>false</LinksUpToDate>
  <CharactersWithSpaces>1856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2020-04-10T03:47:00Z</dcterms:created>
  <dc:creator>y</dc:creator>
  <cp:lastModifiedBy>尚海军</cp:lastModifiedBy>
  <dcterms:modified xsi:type="dcterms:W3CDTF">2021-04-19T07:44:21Z</dcterms:modified>
  <dc:title>新疆巴楚县三岔口C区砂岩型铜矿预查地质概况</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